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C08FE">
      <w:pPr>
        <w:widowControl w:val="0"/>
        <w:tabs>
          <w:tab w:val="left" w:pos="360"/>
        </w:tabs>
        <w:jc w:val="center"/>
        <w:rPr>
          <w:b/>
          <w:color w:val="000000"/>
          <w:sz w:val="26"/>
          <w:szCs w:val="26"/>
        </w:rPr>
      </w:pPr>
      <w:r>
        <w:rPr>
          <w:b/>
          <w:color w:val="000000"/>
          <w:sz w:val="26"/>
          <w:szCs w:val="26"/>
        </w:rPr>
        <w:t>ПОЯСНИТЕЛЬНАЯ ЗАПИСКА</w:t>
      </w:r>
    </w:p>
    <w:p w14:paraId="70031042">
      <w:pPr>
        <w:widowControl w:val="0"/>
        <w:jc w:val="center"/>
        <w:rPr>
          <w:b/>
          <w:color w:val="000000"/>
          <w:sz w:val="26"/>
          <w:szCs w:val="26"/>
        </w:rPr>
      </w:pPr>
      <w:r>
        <w:rPr>
          <w:b/>
          <w:color w:val="000000"/>
          <w:sz w:val="26"/>
          <w:szCs w:val="26"/>
        </w:rPr>
        <w:t xml:space="preserve">к  проекту решения «О бюджете Кубовского сельского поселения Пудожского муниципального района Республики Карелия  на 2026 год» </w:t>
      </w:r>
    </w:p>
    <w:p w14:paraId="5E3F79AC">
      <w:pPr>
        <w:widowControl w:val="0"/>
        <w:jc w:val="center"/>
        <w:rPr>
          <w:b/>
          <w:color w:val="000000"/>
          <w:sz w:val="26"/>
          <w:szCs w:val="26"/>
        </w:rPr>
      </w:pPr>
    </w:p>
    <w:p w14:paraId="02269449">
      <w:pPr>
        <w:pStyle w:val="9"/>
        <w:widowControl w:val="0"/>
        <w:spacing w:line="276" w:lineRule="auto"/>
        <w:ind w:firstLine="851"/>
        <w:jc w:val="both"/>
        <w:rPr>
          <w:rFonts w:ascii="Times New Roman" w:hAnsi="Times New Roman"/>
          <w:sz w:val="22"/>
          <w:szCs w:val="22"/>
          <w:lang w:eastAsia="en-US"/>
        </w:rPr>
      </w:pPr>
      <w:r>
        <w:rPr>
          <w:rFonts w:ascii="Times New Roman" w:hAnsi="Times New Roman"/>
          <w:color w:val="000000"/>
          <w:sz w:val="22"/>
          <w:szCs w:val="22"/>
        </w:rPr>
        <w:t xml:space="preserve">Проект Решения «О бюджете Кубовского сельского поселения Пудожского муниципального района Республики Карелия на 2026 год» (далее – решение) разработано с учетом </w:t>
      </w:r>
      <w:r>
        <w:rPr>
          <w:rFonts w:ascii="Times New Roman" w:hAnsi="Times New Roman"/>
          <w:sz w:val="22"/>
          <w:szCs w:val="22"/>
        </w:rPr>
        <w:t xml:space="preserve">основных направлений бюджетной и налоговой политики Республики Карелия и  </w:t>
      </w:r>
      <w:r>
        <w:rPr>
          <w:rFonts w:ascii="Times New Roman" w:hAnsi="Times New Roman"/>
          <w:color w:val="000000"/>
          <w:sz w:val="22"/>
          <w:szCs w:val="22"/>
        </w:rPr>
        <w:t xml:space="preserve">Кубовского сельского поселения </w:t>
      </w:r>
      <w:r>
        <w:rPr>
          <w:rFonts w:ascii="Times New Roman" w:hAnsi="Times New Roman"/>
          <w:sz w:val="22"/>
          <w:szCs w:val="22"/>
          <w:lang w:eastAsia="en-US"/>
        </w:rPr>
        <w:t>на 2026 год.</w:t>
      </w:r>
    </w:p>
    <w:p w14:paraId="2AABDBC8">
      <w:pPr>
        <w:pStyle w:val="9"/>
        <w:widowControl w:val="0"/>
        <w:spacing w:line="276" w:lineRule="auto"/>
        <w:ind w:firstLine="0"/>
        <w:jc w:val="both"/>
        <w:rPr>
          <w:rFonts w:ascii="Times New Roman" w:hAnsi="Times New Roman"/>
          <w:color w:val="000000"/>
          <w:sz w:val="22"/>
          <w:szCs w:val="22"/>
        </w:rPr>
      </w:pPr>
      <w:r>
        <w:rPr>
          <w:rFonts w:ascii="Times New Roman" w:hAnsi="Times New Roman"/>
          <w:color w:val="000000"/>
          <w:sz w:val="22"/>
          <w:szCs w:val="22"/>
        </w:rPr>
        <w:t xml:space="preserve">Планирование доходов бюджета муниципального образования осуществлялось в соответствии с Методикой, утвержденной постановлением администрации Кубовского сельского поселения от </w:t>
      </w:r>
      <w:r>
        <w:rPr>
          <w:rFonts w:ascii="Times New Roman" w:hAnsi="Times New Roman"/>
          <w:sz w:val="22"/>
          <w:szCs w:val="22"/>
        </w:rPr>
        <w:t>19.06.2017  № 21</w:t>
      </w:r>
      <w:r>
        <w:rPr>
          <w:rFonts w:ascii="Times New Roman" w:hAnsi="Times New Roman"/>
          <w:color w:val="000000"/>
          <w:sz w:val="22"/>
          <w:szCs w:val="22"/>
        </w:rPr>
        <w:t xml:space="preserve"> «Об утверждении Методики прогнозирования поступлений доходов в бюджет Кубовского сельского поселения» и Методикой планирования бюджетных ассигнований бюджета муниципального образования, утвержденной постановлением администрации Кубовского сельского поселения от </w:t>
      </w:r>
      <w:r>
        <w:rPr>
          <w:rFonts w:ascii="Times New Roman" w:hAnsi="Times New Roman"/>
          <w:sz w:val="22"/>
          <w:szCs w:val="22"/>
        </w:rPr>
        <w:t>06.11.2018г № 45</w:t>
      </w:r>
      <w:r>
        <w:rPr>
          <w:rFonts w:ascii="Times New Roman" w:hAnsi="Times New Roman"/>
          <w:color w:val="000000"/>
          <w:sz w:val="22"/>
          <w:szCs w:val="22"/>
        </w:rPr>
        <w:t xml:space="preserve"> «Об утверждении Порядка и Методики планирования бюджетных ассигнований бюджета Кубовского сельского поселения».</w:t>
      </w:r>
    </w:p>
    <w:p w14:paraId="37697413">
      <w:pPr>
        <w:pStyle w:val="9"/>
        <w:widowControl w:val="0"/>
        <w:ind w:firstLine="0"/>
        <w:jc w:val="both"/>
        <w:rPr>
          <w:rFonts w:ascii="Times New Roman" w:hAnsi="Times New Roman"/>
          <w:color w:val="000000"/>
          <w:sz w:val="22"/>
          <w:szCs w:val="22"/>
        </w:rPr>
      </w:pPr>
    </w:p>
    <w:p w14:paraId="2F9AB266">
      <w:pPr>
        <w:widowControl w:val="0"/>
        <w:tabs>
          <w:tab w:val="left" w:pos="709"/>
        </w:tabs>
        <w:autoSpaceDE w:val="0"/>
        <w:autoSpaceDN w:val="0"/>
        <w:adjustRightInd w:val="0"/>
        <w:ind w:firstLine="709"/>
        <w:jc w:val="center"/>
        <w:rPr>
          <w:rFonts w:eastAsiaTheme="minorHAnsi"/>
          <w:b/>
          <w:sz w:val="24"/>
          <w:szCs w:val="24"/>
          <w:u w:val="single"/>
          <w:lang w:eastAsia="en-US"/>
        </w:rPr>
      </w:pPr>
      <w:r>
        <w:rPr>
          <w:rFonts w:eastAsiaTheme="minorHAnsi"/>
          <w:b/>
          <w:sz w:val="24"/>
          <w:szCs w:val="24"/>
          <w:u w:val="single"/>
          <w:lang w:eastAsia="en-US"/>
        </w:rPr>
        <w:t>ОСНОВНЫЕ ХАРАКТЕРИСТИКИ БЮДЖЕТА</w:t>
      </w:r>
    </w:p>
    <w:p w14:paraId="5DAF39E5">
      <w:pPr>
        <w:widowControl w:val="0"/>
        <w:tabs>
          <w:tab w:val="left" w:pos="709"/>
        </w:tabs>
        <w:autoSpaceDE w:val="0"/>
        <w:autoSpaceDN w:val="0"/>
        <w:adjustRightInd w:val="0"/>
        <w:ind w:firstLine="709"/>
        <w:jc w:val="center"/>
        <w:rPr>
          <w:rFonts w:eastAsiaTheme="minorHAnsi"/>
          <w:b/>
          <w:sz w:val="24"/>
          <w:szCs w:val="24"/>
          <w:u w:val="single"/>
          <w:lang w:eastAsia="en-US"/>
        </w:rPr>
      </w:pPr>
    </w:p>
    <w:p w14:paraId="403C8396">
      <w:pPr>
        <w:autoSpaceDE w:val="0"/>
        <w:autoSpaceDN w:val="0"/>
        <w:adjustRightInd w:val="0"/>
        <w:spacing w:line="276" w:lineRule="auto"/>
        <w:jc w:val="both"/>
        <w:rPr>
          <w:rFonts w:eastAsiaTheme="minorHAnsi"/>
          <w:sz w:val="22"/>
          <w:szCs w:val="22"/>
          <w:lang w:eastAsia="en-US"/>
        </w:rPr>
      </w:pPr>
      <w:r>
        <w:rPr>
          <w:rFonts w:eastAsiaTheme="minorHAnsi"/>
          <w:sz w:val="22"/>
          <w:szCs w:val="22"/>
          <w:lang w:eastAsia="en-US"/>
        </w:rPr>
        <w:t xml:space="preserve">     Параметры бюджета</w:t>
      </w:r>
      <w:r>
        <w:rPr>
          <w:color w:val="000000"/>
          <w:sz w:val="22"/>
          <w:szCs w:val="22"/>
        </w:rPr>
        <w:t xml:space="preserve"> Кубовского сельского поселения </w:t>
      </w:r>
      <w:r>
        <w:rPr>
          <w:rFonts w:eastAsiaTheme="minorHAnsi"/>
          <w:sz w:val="22"/>
          <w:szCs w:val="22"/>
          <w:lang w:eastAsia="en-US"/>
        </w:rPr>
        <w:t>определились следующим образом:</w:t>
      </w:r>
    </w:p>
    <w:p w14:paraId="361F8E1A">
      <w:pPr>
        <w:autoSpaceDE w:val="0"/>
        <w:autoSpaceDN w:val="0"/>
        <w:adjustRightInd w:val="0"/>
        <w:spacing w:line="276" w:lineRule="auto"/>
        <w:jc w:val="both"/>
        <w:rPr>
          <w:rFonts w:eastAsiaTheme="minorHAnsi"/>
          <w:sz w:val="22"/>
          <w:szCs w:val="22"/>
          <w:lang w:eastAsia="en-US"/>
        </w:rPr>
      </w:pPr>
      <w:r>
        <w:rPr>
          <w:rFonts w:eastAsiaTheme="minorHAnsi"/>
          <w:sz w:val="22"/>
          <w:szCs w:val="22"/>
          <w:lang w:eastAsia="en-US"/>
        </w:rPr>
        <w:t>на 2026 год по доходам в сумме 7171,40 тыс. рублей, по расходам – 7171,40 тыс. рублей с профицитом (дефицитом)  в размере 0 тыс. рублей;</w:t>
      </w:r>
    </w:p>
    <w:p w14:paraId="171A0A00">
      <w:pPr>
        <w:autoSpaceDE w:val="0"/>
        <w:autoSpaceDN w:val="0"/>
        <w:adjustRightInd w:val="0"/>
        <w:spacing w:line="276" w:lineRule="auto"/>
        <w:jc w:val="both"/>
        <w:rPr>
          <w:rFonts w:eastAsiaTheme="minorHAnsi"/>
          <w:sz w:val="22"/>
          <w:szCs w:val="22"/>
          <w:lang w:eastAsia="en-US"/>
        </w:rPr>
      </w:pPr>
      <w:r>
        <w:rPr>
          <w:rFonts w:eastAsiaTheme="minorHAnsi"/>
          <w:sz w:val="22"/>
          <w:szCs w:val="22"/>
          <w:lang w:eastAsia="en-US"/>
        </w:rPr>
        <w:t xml:space="preserve">Основные характеристики проекта бюджета </w:t>
      </w:r>
      <w:r>
        <w:rPr>
          <w:color w:val="000000"/>
          <w:sz w:val="22"/>
          <w:szCs w:val="22"/>
        </w:rPr>
        <w:t xml:space="preserve"> сельского поселения </w:t>
      </w:r>
      <w:r>
        <w:rPr>
          <w:rFonts w:eastAsiaTheme="minorHAnsi"/>
          <w:sz w:val="22"/>
          <w:szCs w:val="22"/>
          <w:lang w:eastAsia="en-US"/>
        </w:rPr>
        <w:t>на 2024 год спрогнозированы в следующих объемах:</w:t>
      </w:r>
    </w:p>
    <w:p w14:paraId="687C05FD">
      <w:pPr>
        <w:autoSpaceDE w:val="0"/>
        <w:autoSpaceDN w:val="0"/>
        <w:adjustRightInd w:val="0"/>
        <w:jc w:val="center"/>
        <w:rPr>
          <w:rFonts w:eastAsiaTheme="minorHAnsi"/>
          <w:sz w:val="22"/>
          <w:szCs w:val="22"/>
          <w:lang w:eastAsia="en-US"/>
        </w:rPr>
      </w:pPr>
      <w:r>
        <w:rPr>
          <w:rFonts w:eastAsiaTheme="minorHAnsi"/>
          <w:sz w:val="22"/>
          <w:szCs w:val="22"/>
          <w:lang w:eastAsia="en-US"/>
        </w:rPr>
        <w:t xml:space="preserve">                                                                                                     тыс.рублей</w:t>
      </w:r>
    </w:p>
    <w:tbl>
      <w:tblPr>
        <w:tblStyle w:val="6"/>
        <w:tblpPr w:leftFromText="180" w:rightFromText="180" w:vertAnchor="text" w:horzAnchor="page" w:tblpX="1905" w:tblpY="25"/>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1"/>
        <w:gridCol w:w="1701"/>
        <w:gridCol w:w="3652"/>
      </w:tblGrid>
      <w:tr w14:paraId="217B7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14:paraId="502CA7A7">
            <w:pPr>
              <w:autoSpaceDE w:val="0"/>
              <w:autoSpaceDN w:val="0"/>
              <w:adjustRightInd w:val="0"/>
              <w:jc w:val="center"/>
              <w:rPr>
                <w:rFonts w:eastAsiaTheme="minorHAnsi"/>
                <w:lang w:eastAsia="en-US"/>
              </w:rPr>
            </w:pPr>
            <w:r>
              <w:rPr>
                <w:rFonts w:eastAsiaTheme="minorHAnsi"/>
                <w:sz w:val="22"/>
                <w:szCs w:val="22"/>
                <w:lang w:eastAsia="en-US"/>
              </w:rPr>
              <w:t>Наименование показателей</w:t>
            </w:r>
          </w:p>
        </w:tc>
        <w:tc>
          <w:tcPr>
            <w:tcW w:w="1701" w:type="dxa"/>
          </w:tcPr>
          <w:p w14:paraId="53F975C6">
            <w:pPr>
              <w:autoSpaceDE w:val="0"/>
              <w:autoSpaceDN w:val="0"/>
              <w:adjustRightInd w:val="0"/>
              <w:jc w:val="center"/>
              <w:rPr>
                <w:rFonts w:eastAsiaTheme="minorHAnsi"/>
                <w:sz w:val="22"/>
                <w:szCs w:val="22"/>
                <w:lang w:eastAsia="en-US"/>
              </w:rPr>
            </w:pPr>
            <w:r>
              <w:rPr>
                <w:rFonts w:eastAsiaTheme="minorHAnsi"/>
                <w:sz w:val="22"/>
                <w:szCs w:val="22"/>
                <w:lang w:eastAsia="en-US"/>
              </w:rPr>
              <w:t xml:space="preserve">Оценка </w:t>
            </w:r>
          </w:p>
          <w:p w14:paraId="076349B9">
            <w:pPr>
              <w:autoSpaceDE w:val="0"/>
              <w:autoSpaceDN w:val="0"/>
              <w:adjustRightInd w:val="0"/>
              <w:jc w:val="center"/>
              <w:rPr>
                <w:rFonts w:eastAsiaTheme="minorHAnsi"/>
                <w:lang w:eastAsia="en-US"/>
              </w:rPr>
            </w:pPr>
            <w:r>
              <w:rPr>
                <w:rFonts w:eastAsiaTheme="minorHAnsi"/>
                <w:sz w:val="22"/>
                <w:szCs w:val="22"/>
                <w:lang w:eastAsia="en-US"/>
              </w:rPr>
              <w:t>2025 года</w:t>
            </w:r>
          </w:p>
        </w:tc>
        <w:tc>
          <w:tcPr>
            <w:tcW w:w="3652" w:type="dxa"/>
          </w:tcPr>
          <w:p w14:paraId="44A1550F">
            <w:pPr>
              <w:autoSpaceDE w:val="0"/>
              <w:autoSpaceDN w:val="0"/>
              <w:adjustRightInd w:val="0"/>
              <w:jc w:val="center"/>
              <w:rPr>
                <w:rFonts w:eastAsiaTheme="minorHAnsi"/>
                <w:sz w:val="22"/>
                <w:szCs w:val="22"/>
                <w:lang w:eastAsia="en-US"/>
              </w:rPr>
            </w:pPr>
            <w:r>
              <w:rPr>
                <w:rFonts w:eastAsiaTheme="minorHAnsi"/>
                <w:sz w:val="22"/>
                <w:szCs w:val="22"/>
                <w:lang w:eastAsia="en-US"/>
              </w:rPr>
              <w:t>Проект на</w:t>
            </w:r>
          </w:p>
          <w:p w14:paraId="7FF13A9E">
            <w:pPr>
              <w:autoSpaceDE w:val="0"/>
              <w:autoSpaceDN w:val="0"/>
              <w:adjustRightInd w:val="0"/>
              <w:jc w:val="center"/>
              <w:rPr>
                <w:rFonts w:eastAsiaTheme="minorHAnsi"/>
                <w:lang w:eastAsia="en-US"/>
              </w:rPr>
            </w:pPr>
            <w:r>
              <w:rPr>
                <w:rFonts w:eastAsiaTheme="minorHAnsi"/>
                <w:sz w:val="22"/>
                <w:szCs w:val="22"/>
                <w:lang w:eastAsia="en-US"/>
              </w:rPr>
              <w:t xml:space="preserve"> 2026 год</w:t>
            </w:r>
          </w:p>
        </w:tc>
      </w:tr>
      <w:tr w14:paraId="069FF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14:paraId="0C2422DE">
            <w:pPr>
              <w:autoSpaceDE w:val="0"/>
              <w:autoSpaceDN w:val="0"/>
              <w:adjustRightInd w:val="0"/>
              <w:jc w:val="both"/>
              <w:rPr>
                <w:rFonts w:eastAsiaTheme="minorHAnsi"/>
                <w:b/>
                <w:sz w:val="22"/>
                <w:szCs w:val="22"/>
                <w:lang w:eastAsia="en-US"/>
              </w:rPr>
            </w:pPr>
            <w:r>
              <w:rPr>
                <w:rFonts w:eastAsiaTheme="minorHAnsi"/>
                <w:b/>
                <w:sz w:val="22"/>
                <w:szCs w:val="22"/>
                <w:lang w:eastAsia="en-US"/>
              </w:rPr>
              <w:t>1.Доходы - всего,</w:t>
            </w:r>
          </w:p>
          <w:p w14:paraId="1A215F49">
            <w:pPr>
              <w:autoSpaceDE w:val="0"/>
              <w:autoSpaceDN w:val="0"/>
              <w:adjustRightInd w:val="0"/>
              <w:jc w:val="both"/>
              <w:rPr>
                <w:rFonts w:eastAsiaTheme="minorHAnsi"/>
                <w:sz w:val="22"/>
                <w:szCs w:val="22"/>
                <w:lang w:eastAsia="en-US"/>
              </w:rPr>
            </w:pPr>
            <w:r>
              <w:rPr>
                <w:rFonts w:eastAsiaTheme="minorHAnsi"/>
                <w:sz w:val="22"/>
                <w:szCs w:val="22"/>
                <w:lang w:eastAsia="en-US"/>
              </w:rPr>
              <w:t>из них</w:t>
            </w:r>
          </w:p>
        </w:tc>
        <w:tc>
          <w:tcPr>
            <w:tcW w:w="1701" w:type="dxa"/>
            <w:vAlign w:val="center"/>
          </w:tcPr>
          <w:p w14:paraId="32F90D87">
            <w:pPr>
              <w:autoSpaceDE w:val="0"/>
              <w:autoSpaceDN w:val="0"/>
              <w:adjustRightInd w:val="0"/>
              <w:jc w:val="center"/>
              <w:rPr>
                <w:rFonts w:eastAsiaTheme="minorHAnsi"/>
                <w:b/>
                <w:sz w:val="22"/>
                <w:szCs w:val="22"/>
                <w:lang w:eastAsia="en-US"/>
              </w:rPr>
            </w:pPr>
            <w:r>
              <w:rPr>
                <w:rFonts w:eastAsiaTheme="minorHAnsi"/>
                <w:b/>
                <w:sz w:val="22"/>
                <w:szCs w:val="22"/>
                <w:lang w:eastAsia="en-US"/>
              </w:rPr>
              <w:t>7111,70</w:t>
            </w:r>
          </w:p>
        </w:tc>
        <w:tc>
          <w:tcPr>
            <w:tcW w:w="3652" w:type="dxa"/>
            <w:vAlign w:val="center"/>
          </w:tcPr>
          <w:p w14:paraId="5AE9CC96">
            <w:pPr>
              <w:autoSpaceDE w:val="0"/>
              <w:autoSpaceDN w:val="0"/>
              <w:adjustRightInd w:val="0"/>
              <w:jc w:val="center"/>
              <w:rPr>
                <w:rFonts w:eastAsiaTheme="minorHAnsi"/>
                <w:b/>
                <w:sz w:val="22"/>
                <w:szCs w:val="22"/>
                <w:lang w:eastAsia="en-US"/>
              </w:rPr>
            </w:pPr>
            <w:r>
              <w:rPr>
                <w:rFonts w:eastAsiaTheme="minorHAnsi"/>
                <w:b/>
                <w:sz w:val="22"/>
                <w:szCs w:val="22"/>
                <w:lang w:eastAsia="en-US"/>
              </w:rPr>
              <w:t>7171,40</w:t>
            </w:r>
          </w:p>
        </w:tc>
      </w:tr>
      <w:tr w14:paraId="626C6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14:paraId="581F999D">
            <w:pPr>
              <w:autoSpaceDE w:val="0"/>
              <w:autoSpaceDN w:val="0"/>
              <w:adjustRightInd w:val="0"/>
              <w:jc w:val="both"/>
              <w:rPr>
                <w:rFonts w:eastAsiaTheme="minorHAnsi"/>
                <w:sz w:val="22"/>
                <w:szCs w:val="22"/>
                <w:lang w:eastAsia="en-US"/>
              </w:rPr>
            </w:pPr>
            <w:r>
              <w:rPr>
                <w:rFonts w:eastAsiaTheme="minorHAnsi"/>
                <w:sz w:val="22"/>
                <w:szCs w:val="22"/>
                <w:lang w:eastAsia="en-US"/>
              </w:rPr>
              <w:t>налоговые доходы</w:t>
            </w:r>
          </w:p>
        </w:tc>
        <w:tc>
          <w:tcPr>
            <w:tcW w:w="1701" w:type="dxa"/>
            <w:vAlign w:val="center"/>
          </w:tcPr>
          <w:p w14:paraId="32B3A88E">
            <w:pPr>
              <w:autoSpaceDE w:val="0"/>
              <w:autoSpaceDN w:val="0"/>
              <w:adjustRightInd w:val="0"/>
              <w:jc w:val="center"/>
              <w:rPr>
                <w:rFonts w:eastAsiaTheme="minorHAnsi"/>
                <w:sz w:val="22"/>
                <w:szCs w:val="22"/>
                <w:lang w:eastAsia="en-US"/>
              </w:rPr>
            </w:pPr>
            <w:r>
              <w:rPr>
                <w:rFonts w:eastAsiaTheme="minorHAnsi"/>
                <w:sz w:val="22"/>
                <w:szCs w:val="22"/>
                <w:lang w:eastAsia="en-US"/>
              </w:rPr>
              <w:t>2523,90</w:t>
            </w:r>
          </w:p>
        </w:tc>
        <w:tc>
          <w:tcPr>
            <w:tcW w:w="3652" w:type="dxa"/>
            <w:vAlign w:val="center"/>
          </w:tcPr>
          <w:p w14:paraId="170282D0">
            <w:pPr>
              <w:autoSpaceDE w:val="0"/>
              <w:autoSpaceDN w:val="0"/>
              <w:adjustRightInd w:val="0"/>
              <w:jc w:val="center"/>
              <w:rPr>
                <w:rFonts w:eastAsiaTheme="minorHAnsi"/>
                <w:sz w:val="22"/>
                <w:szCs w:val="22"/>
                <w:lang w:eastAsia="en-US"/>
              </w:rPr>
            </w:pPr>
            <w:r>
              <w:rPr>
                <w:rFonts w:eastAsiaTheme="minorHAnsi"/>
                <w:sz w:val="22"/>
                <w:szCs w:val="22"/>
                <w:lang w:eastAsia="en-US"/>
              </w:rPr>
              <w:t>2727,40</w:t>
            </w:r>
          </w:p>
        </w:tc>
      </w:tr>
      <w:tr w14:paraId="280D2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14:paraId="249FEDDD">
            <w:pPr>
              <w:autoSpaceDE w:val="0"/>
              <w:autoSpaceDN w:val="0"/>
              <w:adjustRightInd w:val="0"/>
              <w:jc w:val="both"/>
              <w:rPr>
                <w:rFonts w:eastAsiaTheme="minorHAnsi"/>
                <w:sz w:val="22"/>
                <w:szCs w:val="22"/>
                <w:lang w:eastAsia="en-US"/>
              </w:rPr>
            </w:pPr>
            <w:r>
              <w:rPr>
                <w:rFonts w:eastAsiaTheme="minorHAnsi"/>
                <w:sz w:val="22"/>
                <w:szCs w:val="22"/>
                <w:lang w:eastAsia="en-US"/>
              </w:rPr>
              <w:t>неналоговые доходы</w:t>
            </w:r>
          </w:p>
        </w:tc>
        <w:tc>
          <w:tcPr>
            <w:tcW w:w="1701" w:type="dxa"/>
            <w:vAlign w:val="center"/>
          </w:tcPr>
          <w:p w14:paraId="63607B14">
            <w:pPr>
              <w:autoSpaceDE w:val="0"/>
              <w:autoSpaceDN w:val="0"/>
              <w:adjustRightInd w:val="0"/>
              <w:jc w:val="center"/>
              <w:rPr>
                <w:rFonts w:eastAsiaTheme="minorHAnsi"/>
                <w:sz w:val="22"/>
                <w:szCs w:val="22"/>
                <w:lang w:eastAsia="en-US"/>
              </w:rPr>
            </w:pPr>
            <w:r>
              <w:rPr>
                <w:rFonts w:eastAsiaTheme="minorHAnsi"/>
                <w:sz w:val="22"/>
                <w:szCs w:val="22"/>
                <w:lang w:eastAsia="en-US"/>
              </w:rPr>
              <w:t>315,00</w:t>
            </w:r>
          </w:p>
        </w:tc>
        <w:tc>
          <w:tcPr>
            <w:tcW w:w="3652" w:type="dxa"/>
            <w:vAlign w:val="center"/>
          </w:tcPr>
          <w:p w14:paraId="5C318383">
            <w:pPr>
              <w:autoSpaceDE w:val="0"/>
              <w:autoSpaceDN w:val="0"/>
              <w:adjustRightInd w:val="0"/>
              <w:jc w:val="center"/>
              <w:rPr>
                <w:rFonts w:eastAsiaTheme="minorHAnsi"/>
                <w:sz w:val="22"/>
                <w:szCs w:val="22"/>
                <w:lang w:eastAsia="en-US"/>
              </w:rPr>
            </w:pPr>
            <w:r>
              <w:rPr>
                <w:rFonts w:eastAsiaTheme="minorHAnsi"/>
                <w:sz w:val="22"/>
                <w:szCs w:val="22"/>
                <w:lang w:eastAsia="en-US"/>
              </w:rPr>
              <w:t>262,00</w:t>
            </w:r>
          </w:p>
        </w:tc>
      </w:tr>
      <w:tr w14:paraId="67FC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14:paraId="7442EAA0">
            <w:pPr>
              <w:autoSpaceDE w:val="0"/>
              <w:autoSpaceDN w:val="0"/>
              <w:adjustRightInd w:val="0"/>
              <w:jc w:val="both"/>
              <w:rPr>
                <w:rFonts w:eastAsiaTheme="minorHAnsi"/>
                <w:sz w:val="22"/>
                <w:szCs w:val="22"/>
                <w:lang w:eastAsia="en-US"/>
              </w:rPr>
            </w:pPr>
            <w:r>
              <w:rPr>
                <w:rFonts w:eastAsiaTheme="minorHAnsi"/>
                <w:sz w:val="22"/>
                <w:szCs w:val="22"/>
                <w:lang w:eastAsia="en-US"/>
              </w:rPr>
              <w:t>безвозмездные поступления</w:t>
            </w:r>
          </w:p>
        </w:tc>
        <w:tc>
          <w:tcPr>
            <w:tcW w:w="1701" w:type="dxa"/>
            <w:vAlign w:val="center"/>
          </w:tcPr>
          <w:p w14:paraId="56E393DC">
            <w:pPr>
              <w:autoSpaceDE w:val="0"/>
              <w:autoSpaceDN w:val="0"/>
              <w:adjustRightInd w:val="0"/>
              <w:jc w:val="center"/>
              <w:rPr>
                <w:rFonts w:eastAsiaTheme="minorHAnsi"/>
                <w:sz w:val="22"/>
                <w:szCs w:val="22"/>
                <w:lang w:eastAsia="en-US"/>
              </w:rPr>
            </w:pPr>
            <w:r>
              <w:rPr>
                <w:rFonts w:eastAsiaTheme="minorHAnsi"/>
                <w:sz w:val="22"/>
                <w:szCs w:val="22"/>
                <w:lang w:eastAsia="en-US"/>
              </w:rPr>
              <w:t>4272,80</w:t>
            </w:r>
          </w:p>
        </w:tc>
        <w:tc>
          <w:tcPr>
            <w:tcW w:w="3652" w:type="dxa"/>
            <w:vAlign w:val="center"/>
          </w:tcPr>
          <w:p w14:paraId="6694CC3D">
            <w:pPr>
              <w:autoSpaceDE w:val="0"/>
              <w:autoSpaceDN w:val="0"/>
              <w:adjustRightInd w:val="0"/>
              <w:jc w:val="center"/>
              <w:rPr>
                <w:rFonts w:eastAsiaTheme="minorHAnsi"/>
                <w:sz w:val="22"/>
                <w:szCs w:val="22"/>
                <w:lang w:eastAsia="en-US"/>
              </w:rPr>
            </w:pPr>
            <w:r>
              <w:rPr>
                <w:rFonts w:eastAsiaTheme="minorHAnsi"/>
                <w:sz w:val="22"/>
                <w:szCs w:val="22"/>
                <w:lang w:eastAsia="en-US"/>
              </w:rPr>
              <w:t>4182,00</w:t>
            </w:r>
          </w:p>
        </w:tc>
      </w:tr>
      <w:tr w14:paraId="768F3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14:paraId="05E52BEC">
            <w:pPr>
              <w:autoSpaceDE w:val="0"/>
              <w:autoSpaceDN w:val="0"/>
              <w:adjustRightInd w:val="0"/>
              <w:jc w:val="both"/>
              <w:rPr>
                <w:rFonts w:eastAsiaTheme="minorHAnsi"/>
                <w:b/>
                <w:sz w:val="22"/>
                <w:szCs w:val="22"/>
                <w:lang w:eastAsia="en-US"/>
              </w:rPr>
            </w:pPr>
            <w:r>
              <w:rPr>
                <w:rFonts w:eastAsiaTheme="minorHAnsi"/>
                <w:b/>
                <w:sz w:val="22"/>
                <w:szCs w:val="22"/>
                <w:lang w:eastAsia="en-US"/>
              </w:rPr>
              <w:t>2.Расходы - всего,</w:t>
            </w:r>
          </w:p>
        </w:tc>
        <w:tc>
          <w:tcPr>
            <w:tcW w:w="1701" w:type="dxa"/>
            <w:vAlign w:val="center"/>
          </w:tcPr>
          <w:p w14:paraId="55F31A05">
            <w:pPr>
              <w:autoSpaceDE w:val="0"/>
              <w:autoSpaceDN w:val="0"/>
              <w:adjustRightInd w:val="0"/>
              <w:jc w:val="center"/>
              <w:rPr>
                <w:rFonts w:eastAsiaTheme="minorHAnsi"/>
                <w:b/>
                <w:sz w:val="22"/>
                <w:szCs w:val="22"/>
                <w:lang w:eastAsia="en-US"/>
              </w:rPr>
            </w:pPr>
            <w:r>
              <w:rPr>
                <w:rFonts w:eastAsiaTheme="minorHAnsi"/>
                <w:b/>
                <w:sz w:val="22"/>
                <w:szCs w:val="22"/>
                <w:lang w:eastAsia="en-US"/>
              </w:rPr>
              <w:t>7191,10</w:t>
            </w:r>
          </w:p>
        </w:tc>
        <w:tc>
          <w:tcPr>
            <w:tcW w:w="3652" w:type="dxa"/>
            <w:vAlign w:val="center"/>
          </w:tcPr>
          <w:p w14:paraId="0943FC46">
            <w:pPr>
              <w:autoSpaceDE w:val="0"/>
              <w:autoSpaceDN w:val="0"/>
              <w:adjustRightInd w:val="0"/>
              <w:jc w:val="center"/>
              <w:rPr>
                <w:rFonts w:eastAsiaTheme="minorHAnsi"/>
                <w:b/>
                <w:sz w:val="22"/>
                <w:szCs w:val="22"/>
                <w:lang w:eastAsia="en-US"/>
              </w:rPr>
            </w:pPr>
            <w:r>
              <w:rPr>
                <w:rFonts w:eastAsiaTheme="minorHAnsi"/>
                <w:b/>
                <w:sz w:val="22"/>
                <w:szCs w:val="22"/>
                <w:lang w:eastAsia="en-US"/>
              </w:rPr>
              <w:t>7171,40</w:t>
            </w:r>
          </w:p>
        </w:tc>
      </w:tr>
      <w:tr w14:paraId="6A316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4111" w:type="dxa"/>
          </w:tcPr>
          <w:p w14:paraId="7A4B8326">
            <w:pPr>
              <w:autoSpaceDE w:val="0"/>
              <w:autoSpaceDN w:val="0"/>
              <w:adjustRightInd w:val="0"/>
              <w:jc w:val="both"/>
              <w:rPr>
                <w:rFonts w:eastAsiaTheme="minorHAnsi"/>
                <w:b/>
                <w:sz w:val="22"/>
                <w:szCs w:val="22"/>
                <w:lang w:eastAsia="en-US"/>
              </w:rPr>
            </w:pPr>
            <w:r>
              <w:rPr>
                <w:rFonts w:eastAsiaTheme="minorHAnsi"/>
                <w:b/>
                <w:sz w:val="22"/>
                <w:szCs w:val="22"/>
                <w:lang w:eastAsia="en-US"/>
              </w:rPr>
              <w:t>3. Дефицит (профицит)</w:t>
            </w:r>
          </w:p>
        </w:tc>
        <w:tc>
          <w:tcPr>
            <w:tcW w:w="1701" w:type="dxa"/>
            <w:vAlign w:val="center"/>
          </w:tcPr>
          <w:p w14:paraId="526CC9F4">
            <w:pPr>
              <w:autoSpaceDE w:val="0"/>
              <w:autoSpaceDN w:val="0"/>
              <w:adjustRightInd w:val="0"/>
              <w:jc w:val="center"/>
              <w:rPr>
                <w:rFonts w:eastAsiaTheme="minorHAnsi"/>
                <w:b/>
                <w:sz w:val="22"/>
                <w:szCs w:val="22"/>
                <w:lang w:eastAsia="en-US"/>
              </w:rPr>
            </w:pPr>
            <w:r>
              <w:rPr>
                <w:rFonts w:eastAsiaTheme="minorHAnsi"/>
                <w:b/>
                <w:sz w:val="22"/>
                <w:szCs w:val="22"/>
                <w:lang w:eastAsia="en-US"/>
              </w:rPr>
              <w:t>-79,40</w:t>
            </w:r>
          </w:p>
        </w:tc>
        <w:tc>
          <w:tcPr>
            <w:tcW w:w="3652" w:type="dxa"/>
            <w:vAlign w:val="center"/>
          </w:tcPr>
          <w:p w14:paraId="33C17C23">
            <w:pPr>
              <w:autoSpaceDE w:val="0"/>
              <w:autoSpaceDN w:val="0"/>
              <w:adjustRightInd w:val="0"/>
              <w:jc w:val="center"/>
              <w:rPr>
                <w:rFonts w:eastAsiaTheme="minorHAnsi"/>
                <w:b/>
                <w:sz w:val="22"/>
                <w:szCs w:val="22"/>
                <w:lang w:eastAsia="en-US"/>
              </w:rPr>
            </w:pPr>
            <w:r>
              <w:rPr>
                <w:rFonts w:eastAsiaTheme="minorHAnsi"/>
                <w:b/>
                <w:sz w:val="22"/>
                <w:szCs w:val="22"/>
                <w:lang w:eastAsia="en-US"/>
              </w:rPr>
              <w:t>0,0</w:t>
            </w:r>
          </w:p>
        </w:tc>
      </w:tr>
    </w:tbl>
    <w:p w14:paraId="228D2469">
      <w:pPr>
        <w:widowControl w:val="0"/>
        <w:tabs>
          <w:tab w:val="left" w:pos="709"/>
        </w:tabs>
        <w:autoSpaceDE w:val="0"/>
        <w:autoSpaceDN w:val="0"/>
        <w:adjustRightInd w:val="0"/>
        <w:jc w:val="center"/>
        <w:rPr>
          <w:rFonts w:eastAsiaTheme="minorHAnsi"/>
          <w:b/>
          <w:sz w:val="24"/>
          <w:szCs w:val="24"/>
          <w:u w:val="single"/>
          <w:lang w:eastAsia="en-US"/>
        </w:rPr>
      </w:pPr>
    </w:p>
    <w:p w14:paraId="7BF71DB7">
      <w:pPr>
        <w:widowControl w:val="0"/>
        <w:tabs>
          <w:tab w:val="left" w:pos="709"/>
        </w:tabs>
        <w:autoSpaceDE w:val="0"/>
        <w:autoSpaceDN w:val="0"/>
        <w:adjustRightInd w:val="0"/>
        <w:jc w:val="center"/>
        <w:rPr>
          <w:rFonts w:eastAsiaTheme="minorHAnsi"/>
          <w:b/>
          <w:sz w:val="24"/>
          <w:szCs w:val="24"/>
          <w:u w:val="single"/>
          <w:lang w:eastAsia="en-US"/>
        </w:rPr>
      </w:pPr>
      <w:r>
        <w:rPr>
          <w:rFonts w:eastAsiaTheme="minorHAnsi"/>
          <w:b/>
          <w:sz w:val="24"/>
          <w:szCs w:val="24"/>
          <w:u w:val="single"/>
          <w:lang w:eastAsia="en-US"/>
        </w:rPr>
        <w:t>ДОХОДЫ БЮДЖЕТА</w:t>
      </w:r>
    </w:p>
    <w:p w14:paraId="4FFB7663">
      <w:pPr>
        <w:widowControl w:val="0"/>
        <w:tabs>
          <w:tab w:val="left" w:pos="709"/>
        </w:tabs>
        <w:autoSpaceDE w:val="0"/>
        <w:autoSpaceDN w:val="0"/>
        <w:adjustRightInd w:val="0"/>
        <w:jc w:val="center"/>
        <w:rPr>
          <w:rFonts w:eastAsiaTheme="minorHAnsi"/>
          <w:b/>
          <w:sz w:val="24"/>
          <w:szCs w:val="24"/>
          <w:u w:val="single"/>
          <w:lang w:eastAsia="en-US"/>
        </w:rPr>
      </w:pPr>
    </w:p>
    <w:p w14:paraId="1A970B06">
      <w:pPr>
        <w:autoSpaceDE w:val="0"/>
        <w:autoSpaceDN w:val="0"/>
        <w:adjustRightInd w:val="0"/>
        <w:spacing w:line="276" w:lineRule="auto"/>
        <w:jc w:val="both"/>
      </w:pPr>
      <w:r>
        <w:rPr>
          <w:rFonts w:eastAsiaTheme="minorHAnsi"/>
          <w:sz w:val="28"/>
          <w:szCs w:val="28"/>
          <w:lang w:eastAsia="en-US"/>
        </w:rPr>
        <w:t xml:space="preserve">        </w:t>
      </w:r>
      <w:r>
        <w:rPr>
          <w:rFonts w:eastAsiaTheme="minorHAnsi"/>
          <w:sz w:val="24"/>
          <w:szCs w:val="24"/>
          <w:lang w:eastAsia="en-US"/>
        </w:rPr>
        <w:t xml:space="preserve">   В прогнозе учтены данные главных администраторов доходов бюджета о планируемом поступлении закрепленных доходных источников, данные предоставленные  Межрайонной ИФНС России № 9 по Республике Карелия о прогнозируемом поступлении по отдельным видам налогов, динамика поступлений конкретных доходных источников за ряд предыдущих лет.</w:t>
      </w:r>
      <w:r>
        <w:t xml:space="preserve"> </w:t>
      </w:r>
    </w:p>
    <w:p w14:paraId="0D0F9503">
      <w:pPr>
        <w:autoSpaceDE w:val="0"/>
        <w:autoSpaceDN w:val="0"/>
        <w:adjustRightInd w:val="0"/>
        <w:spacing w:line="276" w:lineRule="auto"/>
        <w:jc w:val="both"/>
        <w:rPr>
          <w:rFonts w:eastAsiaTheme="minorHAnsi"/>
          <w:sz w:val="24"/>
          <w:szCs w:val="24"/>
          <w:lang w:eastAsia="en-US"/>
        </w:rPr>
      </w:pPr>
      <w:r>
        <w:rPr>
          <w:rFonts w:eastAsiaTheme="minorHAnsi"/>
          <w:sz w:val="24"/>
          <w:szCs w:val="24"/>
          <w:lang w:eastAsia="en-US"/>
        </w:rPr>
        <w:t xml:space="preserve">Основным бюджетообразующим доходным источником является налог от уплаты акцизов и составляет – 2410,40 тыс. рублей.  </w:t>
      </w:r>
    </w:p>
    <w:p w14:paraId="0E801F90">
      <w:pPr>
        <w:autoSpaceDE w:val="0"/>
        <w:autoSpaceDN w:val="0"/>
        <w:adjustRightInd w:val="0"/>
        <w:spacing w:line="276" w:lineRule="auto"/>
        <w:jc w:val="both"/>
        <w:rPr>
          <w:rFonts w:eastAsiaTheme="minorHAnsi"/>
          <w:sz w:val="24"/>
          <w:szCs w:val="24"/>
          <w:lang w:eastAsia="en-US"/>
        </w:rPr>
      </w:pPr>
      <w:r>
        <w:rPr>
          <w:rFonts w:eastAsiaTheme="minorHAnsi"/>
          <w:sz w:val="24"/>
          <w:szCs w:val="24"/>
          <w:lang w:eastAsia="en-US"/>
        </w:rPr>
        <w:t>Для расчета НДФЛ на 2026 год использовались прогнозные показатели Межрайонной инспекции ФНС России №9 по РК. Норматив отчислений от налога на доходы физ.лиц поселения на 2026 год  составит 2 %.</w:t>
      </w:r>
    </w:p>
    <w:p w14:paraId="5E9043ED">
      <w:pPr>
        <w:autoSpaceDE w:val="0"/>
        <w:autoSpaceDN w:val="0"/>
        <w:adjustRightInd w:val="0"/>
        <w:spacing w:line="276" w:lineRule="auto"/>
        <w:jc w:val="both"/>
        <w:rPr>
          <w:rFonts w:eastAsiaTheme="minorHAnsi"/>
          <w:sz w:val="24"/>
          <w:szCs w:val="24"/>
          <w:lang w:eastAsia="en-US"/>
        </w:rPr>
      </w:pPr>
      <w:r>
        <w:rPr>
          <w:rFonts w:eastAsiaTheme="minorHAnsi"/>
          <w:sz w:val="24"/>
          <w:szCs w:val="24"/>
          <w:lang w:eastAsia="en-US"/>
        </w:rPr>
        <w:t xml:space="preserve">          Динамика доходов бюджета поселения сложилась следующим образом:</w:t>
      </w:r>
    </w:p>
    <w:p w14:paraId="4E744464">
      <w:pPr>
        <w:autoSpaceDE w:val="0"/>
        <w:autoSpaceDN w:val="0"/>
        <w:adjustRightInd w:val="0"/>
        <w:spacing w:line="276" w:lineRule="auto"/>
        <w:jc w:val="both"/>
        <w:rPr>
          <w:rFonts w:eastAsiaTheme="minorHAnsi"/>
          <w:sz w:val="24"/>
          <w:szCs w:val="24"/>
          <w:lang w:eastAsia="en-US"/>
        </w:rPr>
      </w:pPr>
    </w:p>
    <w:p w14:paraId="39691DA4">
      <w:pPr>
        <w:autoSpaceDE w:val="0"/>
        <w:autoSpaceDN w:val="0"/>
        <w:adjustRightInd w:val="0"/>
        <w:spacing w:line="276" w:lineRule="auto"/>
        <w:jc w:val="both"/>
        <w:rPr>
          <w:rFonts w:eastAsiaTheme="minorHAnsi"/>
          <w:sz w:val="24"/>
          <w:szCs w:val="24"/>
          <w:lang w:eastAsia="en-US"/>
        </w:rPr>
      </w:pPr>
    </w:p>
    <w:p w14:paraId="0792A14F">
      <w:pPr>
        <w:autoSpaceDE w:val="0"/>
        <w:autoSpaceDN w:val="0"/>
        <w:adjustRightInd w:val="0"/>
        <w:spacing w:line="276" w:lineRule="auto"/>
        <w:jc w:val="both"/>
        <w:rPr>
          <w:rFonts w:eastAsiaTheme="minorHAnsi"/>
          <w:sz w:val="24"/>
          <w:szCs w:val="24"/>
          <w:lang w:eastAsia="en-US"/>
        </w:rPr>
      </w:pPr>
    </w:p>
    <w:p w14:paraId="695BFA24">
      <w:pPr>
        <w:autoSpaceDE w:val="0"/>
        <w:autoSpaceDN w:val="0"/>
        <w:adjustRightInd w:val="0"/>
        <w:spacing w:line="276" w:lineRule="auto"/>
        <w:jc w:val="both"/>
        <w:rPr>
          <w:rFonts w:eastAsiaTheme="minorHAnsi"/>
          <w:sz w:val="24"/>
          <w:szCs w:val="24"/>
          <w:lang w:eastAsia="en-US"/>
        </w:rPr>
      </w:pPr>
    </w:p>
    <w:p w14:paraId="3D6EE3AF">
      <w:pPr>
        <w:autoSpaceDE w:val="0"/>
        <w:autoSpaceDN w:val="0"/>
        <w:adjustRightInd w:val="0"/>
        <w:spacing w:line="276" w:lineRule="auto"/>
        <w:jc w:val="both"/>
        <w:rPr>
          <w:rFonts w:eastAsiaTheme="minorHAnsi"/>
          <w:sz w:val="24"/>
          <w:szCs w:val="24"/>
          <w:u w:val="single"/>
          <w:lang w:eastAsia="en-US"/>
        </w:rPr>
      </w:pPr>
    </w:p>
    <w:p w14:paraId="6E1C2822">
      <w:pPr>
        <w:widowControl w:val="0"/>
        <w:tabs>
          <w:tab w:val="left" w:pos="709"/>
        </w:tabs>
        <w:autoSpaceDE w:val="0"/>
        <w:autoSpaceDN w:val="0"/>
        <w:adjustRightInd w:val="0"/>
        <w:ind w:firstLine="709"/>
        <w:jc w:val="right"/>
        <w:rPr>
          <w:rFonts w:eastAsiaTheme="minorHAnsi"/>
          <w:sz w:val="24"/>
          <w:szCs w:val="24"/>
          <w:lang w:eastAsia="en-US"/>
        </w:rPr>
      </w:pPr>
      <w:r>
        <w:rPr>
          <w:rFonts w:eastAsiaTheme="minorHAnsi"/>
          <w:sz w:val="24"/>
          <w:szCs w:val="24"/>
          <w:lang w:eastAsia="en-US"/>
        </w:rPr>
        <w:t xml:space="preserve">                                                       тыс.рублей</w:t>
      </w:r>
    </w:p>
    <w:tbl>
      <w:tblPr>
        <w:tblStyle w:val="6"/>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8"/>
        <w:gridCol w:w="1701"/>
        <w:gridCol w:w="2269"/>
      </w:tblGrid>
      <w:tr w14:paraId="4A85E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5528" w:type="dxa"/>
            <w:vMerge w:val="restart"/>
          </w:tcPr>
          <w:p w14:paraId="57FCC49D">
            <w:pPr>
              <w:widowControl w:val="0"/>
              <w:tabs>
                <w:tab w:val="left" w:pos="709"/>
              </w:tabs>
              <w:autoSpaceDE w:val="0"/>
              <w:autoSpaceDN w:val="0"/>
              <w:adjustRightInd w:val="0"/>
              <w:rPr>
                <w:rFonts w:eastAsiaTheme="minorHAnsi"/>
                <w:lang w:eastAsia="en-US"/>
              </w:rPr>
            </w:pPr>
            <w:r>
              <w:rPr>
                <w:rFonts w:eastAsiaTheme="minorHAnsi"/>
                <w:lang w:eastAsia="en-US"/>
              </w:rPr>
              <w:t>Показатели</w:t>
            </w:r>
          </w:p>
        </w:tc>
        <w:tc>
          <w:tcPr>
            <w:tcW w:w="1701" w:type="dxa"/>
            <w:vMerge w:val="restart"/>
          </w:tcPr>
          <w:p w14:paraId="5CC5E636">
            <w:pPr>
              <w:widowControl w:val="0"/>
              <w:tabs>
                <w:tab w:val="left" w:pos="709"/>
              </w:tabs>
              <w:autoSpaceDE w:val="0"/>
              <w:autoSpaceDN w:val="0"/>
              <w:adjustRightInd w:val="0"/>
              <w:jc w:val="center"/>
              <w:rPr>
                <w:rFonts w:eastAsiaTheme="minorHAnsi"/>
                <w:lang w:eastAsia="en-US"/>
              </w:rPr>
            </w:pPr>
            <w:r>
              <w:rPr>
                <w:rFonts w:eastAsiaTheme="minorHAnsi"/>
                <w:lang w:eastAsia="en-US"/>
              </w:rPr>
              <w:t>Оценка</w:t>
            </w:r>
          </w:p>
          <w:p w14:paraId="62CAC993">
            <w:pPr>
              <w:widowControl w:val="0"/>
              <w:tabs>
                <w:tab w:val="left" w:pos="709"/>
              </w:tabs>
              <w:autoSpaceDE w:val="0"/>
              <w:autoSpaceDN w:val="0"/>
              <w:adjustRightInd w:val="0"/>
              <w:jc w:val="center"/>
              <w:rPr>
                <w:rFonts w:eastAsiaTheme="minorHAnsi"/>
                <w:lang w:eastAsia="en-US"/>
              </w:rPr>
            </w:pPr>
            <w:r>
              <w:rPr>
                <w:rFonts w:eastAsiaTheme="minorHAnsi"/>
                <w:lang w:eastAsia="en-US"/>
              </w:rPr>
              <w:t>2025 года</w:t>
            </w:r>
          </w:p>
        </w:tc>
        <w:tc>
          <w:tcPr>
            <w:tcW w:w="2269" w:type="dxa"/>
            <w:vMerge w:val="restart"/>
          </w:tcPr>
          <w:p w14:paraId="15F09270">
            <w:pPr>
              <w:widowControl w:val="0"/>
              <w:tabs>
                <w:tab w:val="left" w:pos="709"/>
              </w:tabs>
              <w:autoSpaceDE w:val="0"/>
              <w:autoSpaceDN w:val="0"/>
              <w:adjustRightInd w:val="0"/>
              <w:jc w:val="center"/>
              <w:rPr>
                <w:rFonts w:eastAsiaTheme="minorHAnsi"/>
                <w:lang w:eastAsia="en-US"/>
              </w:rPr>
            </w:pPr>
            <w:r>
              <w:rPr>
                <w:rFonts w:eastAsiaTheme="minorHAnsi"/>
                <w:lang w:eastAsia="en-US"/>
              </w:rPr>
              <w:t>Прогноз</w:t>
            </w:r>
          </w:p>
          <w:p w14:paraId="5CDCFA47">
            <w:pPr>
              <w:widowControl w:val="0"/>
              <w:tabs>
                <w:tab w:val="left" w:pos="709"/>
              </w:tabs>
              <w:autoSpaceDE w:val="0"/>
              <w:autoSpaceDN w:val="0"/>
              <w:adjustRightInd w:val="0"/>
              <w:jc w:val="center"/>
              <w:rPr>
                <w:rFonts w:eastAsiaTheme="minorHAnsi"/>
                <w:lang w:eastAsia="en-US"/>
              </w:rPr>
            </w:pPr>
            <w:r>
              <w:rPr>
                <w:rFonts w:eastAsiaTheme="minorHAnsi"/>
                <w:lang w:eastAsia="en-US"/>
              </w:rPr>
              <w:t>на 2026 год</w:t>
            </w:r>
          </w:p>
        </w:tc>
      </w:tr>
      <w:tr w14:paraId="3B499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5528" w:type="dxa"/>
            <w:vMerge w:val="continue"/>
          </w:tcPr>
          <w:p w14:paraId="00E68D0E">
            <w:pPr>
              <w:widowControl w:val="0"/>
              <w:tabs>
                <w:tab w:val="left" w:pos="709"/>
              </w:tabs>
              <w:autoSpaceDE w:val="0"/>
              <w:autoSpaceDN w:val="0"/>
              <w:adjustRightInd w:val="0"/>
              <w:rPr>
                <w:rFonts w:eastAsiaTheme="minorHAnsi"/>
                <w:lang w:eastAsia="en-US"/>
              </w:rPr>
            </w:pPr>
          </w:p>
        </w:tc>
        <w:tc>
          <w:tcPr>
            <w:tcW w:w="1701" w:type="dxa"/>
            <w:vMerge w:val="continue"/>
          </w:tcPr>
          <w:p w14:paraId="46C6CD88">
            <w:pPr>
              <w:widowControl w:val="0"/>
              <w:tabs>
                <w:tab w:val="left" w:pos="709"/>
              </w:tabs>
              <w:autoSpaceDE w:val="0"/>
              <w:autoSpaceDN w:val="0"/>
              <w:adjustRightInd w:val="0"/>
              <w:jc w:val="center"/>
              <w:rPr>
                <w:rFonts w:eastAsiaTheme="minorHAnsi"/>
                <w:lang w:eastAsia="en-US"/>
              </w:rPr>
            </w:pPr>
          </w:p>
        </w:tc>
        <w:tc>
          <w:tcPr>
            <w:tcW w:w="2269" w:type="dxa"/>
            <w:vMerge w:val="continue"/>
          </w:tcPr>
          <w:p w14:paraId="58957B40">
            <w:pPr>
              <w:widowControl w:val="0"/>
              <w:tabs>
                <w:tab w:val="left" w:pos="709"/>
              </w:tabs>
              <w:autoSpaceDE w:val="0"/>
              <w:autoSpaceDN w:val="0"/>
              <w:adjustRightInd w:val="0"/>
              <w:jc w:val="center"/>
              <w:rPr>
                <w:rFonts w:eastAsiaTheme="minorHAnsi"/>
                <w:lang w:eastAsia="en-US"/>
              </w:rPr>
            </w:pPr>
          </w:p>
        </w:tc>
      </w:tr>
      <w:tr w14:paraId="42EEF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528" w:type="dxa"/>
            <w:shd w:val="clear" w:color="auto" w:fill="FFFF00"/>
          </w:tcPr>
          <w:p w14:paraId="59757F2B">
            <w:pPr>
              <w:widowControl w:val="0"/>
              <w:tabs>
                <w:tab w:val="left" w:pos="709"/>
              </w:tabs>
              <w:autoSpaceDE w:val="0"/>
              <w:autoSpaceDN w:val="0"/>
              <w:adjustRightInd w:val="0"/>
              <w:rPr>
                <w:rFonts w:eastAsiaTheme="minorHAnsi"/>
                <w:lang w:eastAsia="en-US"/>
              </w:rPr>
            </w:pPr>
            <w:r>
              <w:rPr>
                <w:rFonts w:eastAsiaTheme="minorHAnsi"/>
                <w:lang w:eastAsia="en-US"/>
              </w:rPr>
              <w:t>Доходы, в том числе</w:t>
            </w:r>
          </w:p>
        </w:tc>
        <w:tc>
          <w:tcPr>
            <w:tcW w:w="1701" w:type="dxa"/>
            <w:shd w:val="clear" w:color="auto" w:fill="FFFF00"/>
          </w:tcPr>
          <w:p w14:paraId="61FCD50A">
            <w:pPr>
              <w:autoSpaceDE w:val="0"/>
              <w:autoSpaceDN w:val="0"/>
              <w:adjustRightInd w:val="0"/>
              <w:jc w:val="center"/>
              <w:rPr>
                <w:rFonts w:eastAsiaTheme="minorHAnsi"/>
                <w:b/>
                <w:sz w:val="22"/>
                <w:szCs w:val="22"/>
                <w:lang w:eastAsia="en-US"/>
              </w:rPr>
            </w:pPr>
            <w:r>
              <w:rPr>
                <w:rFonts w:eastAsiaTheme="minorHAnsi"/>
                <w:b/>
                <w:sz w:val="22"/>
                <w:szCs w:val="22"/>
                <w:lang w:eastAsia="en-US"/>
              </w:rPr>
              <w:t>7111,70</w:t>
            </w:r>
          </w:p>
        </w:tc>
        <w:tc>
          <w:tcPr>
            <w:tcW w:w="2269" w:type="dxa"/>
            <w:shd w:val="clear" w:color="auto" w:fill="FFFF00"/>
          </w:tcPr>
          <w:p w14:paraId="692FC92B">
            <w:pPr>
              <w:autoSpaceDE w:val="0"/>
              <w:autoSpaceDN w:val="0"/>
              <w:adjustRightInd w:val="0"/>
              <w:jc w:val="center"/>
              <w:rPr>
                <w:rFonts w:eastAsiaTheme="minorHAnsi"/>
                <w:b/>
                <w:sz w:val="22"/>
                <w:szCs w:val="22"/>
                <w:lang w:eastAsia="en-US"/>
              </w:rPr>
            </w:pPr>
            <w:r>
              <w:rPr>
                <w:rFonts w:eastAsiaTheme="minorHAnsi"/>
                <w:b/>
                <w:sz w:val="22"/>
                <w:szCs w:val="22"/>
                <w:lang w:eastAsia="en-US"/>
              </w:rPr>
              <w:t>7171,40</w:t>
            </w:r>
          </w:p>
        </w:tc>
      </w:tr>
      <w:tr w14:paraId="52C3F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528" w:type="dxa"/>
            <w:shd w:val="clear" w:color="auto" w:fill="FFFF00"/>
          </w:tcPr>
          <w:p w14:paraId="178C9C0A">
            <w:pPr>
              <w:widowControl w:val="0"/>
              <w:tabs>
                <w:tab w:val="left" w:pos="709"/>
              </w:tabs>
              <w:autoSpaceDE w:val="0"/>
              <w:autoSpaceDN w:val="0"/>
              <w:adjustRightInd w:val="0"/>
              <w:rPr>
                <w:rFonts w:eastAsiaTheme="minorHAnsi"/>
                <w:lang w:eastAsia="en-US"/>
              </w:rPr>
            </w:pPr>
            <w:r>
              <w:rPr>
                <w:rFonts w:eastAsiaTheme="minorHAnsi"/>
                <w:lang w:eastAsia="en-US"/>
              </w:rPr>
              <w:t>Налоговые доходы</w:t>
            </w:r>
          </w:p>
        </w:tc>
        <w:tc>
          <w:tcPr>
            <w:tcW w:w="1701" w:type="dxa"/>
            <w:shd w:val="clear" w:color="auto" w:fill="FFFF00"/>
          </w:tcPr>
          <w:p w14:paraId="27E343C3">
            <w:pPr>
              <w:autoSpaceDE w:val="0"/>
              <w:autoSpaceDN w:val="0"/>
              <w:adjustRightInd w:val="0"/>
              <w:jc w:val="center"/>
              <w:rPr>
                <w:rFonts w:eastAsiaTheme="minorHAnsi"/>
                <w:sz w:val="22"/>
                <w:szCs w:val="22"/>
                <w:lang w:eastAsia="en-US"/>
              </w:rPr>
            </w:pPr>
            <w:r>
              <w:rPr>
                <w:rFonts w:eastAsiaTheme="minorHAnsi"/>
                <w:sz w:val="22"/>
                <w:szCs w:val="22"/>
                <w:lang w:eastAsia="en-US"/>
              </w:rPr>
              <w:t>2523,90</w:t>
            </w:r>
          </w:p>
        </w:tc>
        <w:tc>
          <w:tcPr>
            <w:tcW w:w="2269" w:type="dxa"/>
            <w:shd w:val="clear" w:color="auto" w:fill="FFFF00"/>
          </w:tcPr>
          <w:p w14:paraId="33FB1072">
            <w:pPr>
              <w:autoSpaceDE w:val="0"/>
              <w:autoSpaceDN w:val="0"/>
              <w:adjustRightInd w:val="0"/>
              <w:jc w:val="center"/>
              <w:rPr>
                <w:rFonts w:eastAsiaTheme="minorHAnsi"/>
                <w:sz w:val="22"/>
                <w:szCs w:val="22"/>
                <w:lang w:eastAsia="en-US"/>
              </w:rPr>
            </w:pPr>
            <w:r>
              <w:rPr>
                <w:rFonts w:eastAsiaTheme="minorHAnsi"/>
                <w:sz w:val="22"/>
                <w:szCs w:val="22"/>
                <w:lang w:eastAsia="en-US"/>
              </w:rPr>
              <w:t>2727,40</w:t>
            </w:r>
          </w:p>
        </w:tc>
      </w:tr>
      <w:tr w14:paraId="24AFF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528" w:type="dxa"/>
          </w:tcPr>
          <w:p w14:paraId="64564012">
            <w:pPr>
              <w:widowControl w:val="0"/>
              <w:tabs>
                <w:tab w:val="left" w:pos="709"/>
              </w:tabs>
              <w:autoSpaceDE w:val="0"/>
              <w:autoSpaceDN w:val="0"/>
              <w:adjustRightInd w:val="0"/>
              <w:rPr>
                <w:rFonts w:eastAsiaTheme="minorHAnsi"/>
                <w:lang w:eastAsia="en-US"/>
              </w:rPr>
            </w:pPr>
            <w:r>
              <w:rPr>
                <w:rFonts w:eastAsiaTheme="minorHAnsi"/>
                <w:lang w:eastAsia="en-US"/>
              </w:rPr>
              <w:t>-налог на доходы физических лиц</w:t>
            </w:r>
          </w:p>
        </w:tc>
        <w:tc>
          <w:tcPr>
            <w:tcW w:w="1701" w:type="dxa"/>
          </w:tcPr>
          <w:p w14:paraId="6F08F88D">
            <w:pPr>
              <w:autoSpaceDE w:val="0"/>
              <w:autoSpaceDN w:val="0"/>
              <w:adjustRightInd w:val="0"/>
              <w:jc w:val="center"/>
              <w:rPr>
                <w:rFonts w:eastAsiaTheme="minorHAnsi"/>
                <w:sz w:val="22"/>
                <w:szCs w:val="22"/>
                <w:lang w:eastAsia="en-US"/>
              </w:rPr>
            </w:pPr>
            <w:r>
              <w:rPr>
                <w:rFonts w:eastAsiaTheme="minorHAnsi"/>
                <w:sz w:val="22"/>
                <w:szCs w:val="22"/>
                <w:lang w:eastAsia="en-US"/>
              </w:rPr>
              <w:t>117,00</w:t>
            </w:r>
          </w:p>
        </w:tc>
        <w:tc>
          <w:tcPr>
            <w:tcW w:w="2269" w:type="dxa"/>
          </w:tcPr>
          <w:p w14:paraId="7839D7E3">
            <w:pPr>
              <w:autoSpaceDE w:val="0"/>
              <w:autoSpaceDN w:val="0"/>
              <w:adjustRightInd w:val="0"/>
              <w:jc w:val="center"/>
              <w:rPr>
                <w:rFonts w:eastAsiaTheme="minorHAnsi"/>
                <w:sz w:val="22"/>
                <w:szCs w:val="22"/>
                <w:lang w:eastAsia="en-US"/>
              </w:rPr>
            </w:pPr>
            <w:r>
              <w:rPr>
                <w:rFonts w:eastAsiaTheme="minorHAnsi"/>
                <w:sz w:val="22"/>
                <w:szCs w:val="22"/>
                <w:lang w:eastAsia="en-US"/>
              </w:rPr>
              <w:t>128,00</w:t>
            </w:r>
          </w:p>
        </w:tc>
      </w:tr>
      <w:tr w14:paraId="3B4E0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528" w:type="dxa"/>
          </w:tcPr>
          <w:p w14:paraId="32557396">
            <w:pPr>
              <w:widowControl w:val="0"/>
              <w:tabs>
                <w:tab w:val="left" w:pos="709"/>
              </w:tabs>
              <w:autoSpaceDE w:val="0"/>
              <w:autoSpaceDN w:val="0"/>
              <w:adjustRightInd w:val="0"/>
              <w:rPr>
                <w:rFonts w:eastAsiaTheme="minorHAnsi"/>
                <w:lang w:eastAsia="en-US"/>
              </w:rPr>
            </w:pPr>
            <w:r>
              <w:rPr>
                <w:rFonts w:eastAsiaTheme="minorHAnsi"/>
                <w:lang w:eastAsia="en-US"/>
              </w:rPr>
              <w:t>-доходы от уплаты акцизов</w:t>
            </w:r>
          </w:p>
        </w:tc>
        <w:tc>
          <w:tcPr>
            <w:tcW w:w="1701" w:type="dxa"/>
          </w:tcPr>
          <w:p w14:paraId="74B38749">
            <w:pPr>
              <w:autoSpaceDE w:val="0"/>
              <w:autoSpaceDN w:val="0"/>
              <w:adjustRightInd w:val="0"/>
              <w:jc w:val="center"/>
              <w:rPr>
                <w:rFonts w:eastAsiaTheme="minorHAnsi"/>
                <w:sz w:val="22"/>
                <w:szCs w:val="22"/>
                <w:lang w:eastAsia="en-US"/>
              </w:rPr>
            </w:pPr>
            <w:r>
              <w:rPr>
                <w:rFonts w:eastAsiaTheme="minorHAnsi"/>
                <w:sz w:val="22"/>
                <w:szCs w:val="22"/>
                <w:lang w:eastAsia="en-US"/>
              </w:rPr>
              <w:t>2216,90</w:t>
            </w:r>
          </w:p>
        </w:tc>
        <w:tc>
          <w:tcPr>
            <w:tcW w:w="2269" w:type="dxa"/>
          </w:tcPr>
          <w:p w14:paraId="379A96DE">
            <w:pPr>
              <w:autoSpaceDE w:val="0"/>
              <w:autoSpaceDN w:val="0"/>
              <w:adjustRightInd w:val="0"/>
              <w:jc w:val="center"/>
              <w:rPr>
                <w:rFonts w:eastAsiaTheme="minorHAnsi"/>
                <w:sz w:val="22"/>
                <w:szCs w:val="22"/>
                <w:lang w:eastAsia="en-US"/>
              </w:rPr>
            </w:pPr>
            <w:r>
              <w:rPr>
                <w:rFonts w:eastAsiaTheme="minorHAnsi"/>
                <w:sz w:val="22"/>
                <w:szCs w:val="22"/>
                <w:lang w:eastAsia="en-US"/>
              </w:rPr>
              <w:t>2410,40</w:t>
            </w:r>
          </w:p>
        </w:tc>
      </w:tr>
      <w:tr w14:paraId="4B06D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528" w:type="dxa"/>
          </w:tcPr>
          <w:p w14:paraId="2CC19516">
            <w:pPr>
              <w:widowControl w:val="0"/>
              <w:tabs>
                <w:tab w:val="left" w:pos="709"/>
              </w:tabs>
              <w:autoSpaceDE w:val="0"/>
              <w:autoSpaceDN w:val="0"/>
              <w:adjustRightInd w:val="0"/>
              <w:rPr>
                <w:rFonts w:eastAsiaTheme="minorHAnsi"/>
                <w:lang w:eastAsia="en-US"/>
              </w:rPr>
            </w:pPr>
            <w:r>
              <w:rPr>
                <w:rFonts w:eastAsiaTheme="minorHAnsi"/>
                <w:lang w:eastAsia="en-US"/>
              </w:rPr>
              <w:t>-налог на имущество</w:t>
            </w:r>
          </w:p>
        </w:tc>
        <w:tc>
          <w:tcPr>
            <w:tcW w:w="1701" w:type="dxa"/>
          </w:tcPr>
          <w:p w14:paraId="1498C4A3">
            <w:pPr>
              <w:autoSpaceDE w:val="0"/>
              <w:autoSpaceDN w:val="0"/>
              <w:adjustRightInd w:val="0"/>
              <w:jc w:val="center"/>
              <w:rPr>
                <w:rFonts w:eastAsiaTheme="minorHAnsi"/>
                <w:sz w:val="22"/>
                <w:szCs w:val="22"/>
                <w:lang w:eastAsia="en-US"/>
              </w:rPr>
            </w:pPr>
            <w:r>
              <w:rPr>
                <w:rFonts w:eastAsiaTheme="minorHAnsi"/>
                <w:sz w:val="22"/>
                <w:szCs w:val="22"/>
                <w:lang w:eastAsia="en-US"/>
              </w:rPr>
              <w:t>151,00</w:t>
            </w:r>
          </w:p>
        </w:tc>
        <w:tc>
          <w:tcPr>
            <w:tcW w:w="2269" w:type="dxa"/>
          </w:tcPr>
          <w:p w14:paraId="2F6C8789">
            <w:pPr>
              <w:autoSpaceDE w:val="0"/>
              <w:autoSpaceDN w:val="0"/>
              <w:adjustRightInd w:val="0"/>
              <w:jc w:val="center"/>
              <w:rPr>
                <w:rFonts w:eastAsiaTheme="minorHAnsi"/>
                <w:sz w:val="22"/>
                <w:szCs w:val="22"/>
                <w:lang w:eastAsia="en-US"/>
              </w:rPr>
            </w:pPr>
            <w:r>
              <w:rPr>
                <w:rFonts w:eastAsiaTheme="minorHAnsi"/>
                <w:sz w:val="22"/>
                <w:szCs w:val="22"/>
                <w:lang w:eastAsia="en-US"/>
              </w:rPr>
              <w:t>153,00</w:t>
            </w:r>
          </w:p>
        </w:tc>
      </w:tr>
      <w:tr w14:paraId="55DEE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528" w:type="dxa"/>
          </w:tcPr>
          <w:p w14:paraId="2DC89DE2">
            <w:pPr>
              <w:widowControl w:val="0"/>
              <w:tabs>
                <w:tab w:val="left" w:pos="709"/>
              </w:tabs>
              <w:autoSpaceDE w:val="0"/>
              <w:autoSpaceDN w:val="0"/>
              <w:adjustRightInd w:val="0"/>
              <w:rPr>
                <w:rFonts w:eastAsiaTheme="minorHAnsi"/>
                <w:lang w:eastAsia="en-US"/>
              </w:rPr>
            </w:pPr>
            <w:r>
              <w:rPr>
                <w:rFonts w:eastAsiaTheme="minorHAnsi"/>
                <w:lang w:eastAsia="en-US"/>
              </w:rPr>
              <w:t>-земельный налог</w:t>
            </w:r>
          </w:p>
        </w:tc>
        <w:tc>
          <w:tcPr>
            <w:tcW w:w="1701" w:type="dxa"/>
          </w:tcPr>
          <w:p w14:paraId="7D7A7F49">
            <w:pPr>
              <w:autoSpaceDE w:val="0"/>
              <w:autoSpaceDN w:val="0"/>
              <w:adjustRightInd w:val="0"/>
              <w:jc w:val="center"/>
              <w:rPr>
                <w:rFonts w:eastAsiaTheme="minorHAnsi"/>
                <w:sz w:val="22"/>
                <w:szCs w:val="22"/>
                <w:lang w:eastAsia="en-US"/>
              </w:rPr>
            </w:pPr>
            <w:r>
              <w:rPr>
                <w:rFonts w:eastAsiaTheme="minorHAnsi"/>
                <w:sz w:val="22"/>
                <w:szCs w:val="22"/>
                <w:lang w:eastAsia="en-US"/>
              </w:rPr>
              <w:t>39,00</w:t>
            </w:r>
          </w:p>
        </w:tc>
        <w:tc>
          <w:tcPr>
            <w:tcW w:w="2269" w:type="dxa"/>
          </w:tcPr>
          <w:p w14:paraId="7229CDD5">
            <w:pPr>
              <w:autoSpaceDE w:val="0"/>
              <w:autoSpaceDN w:val="0"/>
              <w:adjustRightInd w:val="0"/>
              <w:jc w:val="center"/>
              <w:rPr>
                <w:rFonts w:eastAsiaTheme="minorHAnsi"/>
                <w:sz w:val="22"/>
                <w:szCs w:val="22"/>
                <w:lang w:eastAsia="en-US"/>
              </w:rPr>
            </w:pPr>
            <w:r>
              <w:rPr>
                <w:rFonts w:eastAsiaTheme="minorHAnsi"/>
                <w:sz w:val="22"/>
                <w:szCs w:val="22"/>
                <w:lang w:eastAsia="en-US"/>
              </w:rPr>
              <w:t>36,0</w:t>
            </w:r>
          </w:p>
        </w:tc>
      </w:tr>
      <w:tr w14:paraId="4CDF7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528" w:type="dxa"/>
          </w:tcPr>
          <w:p w14:paraId="1A83CE83">
            <w:pPr>
              <w:widowControl w:val="0"/>
              <w:tabs>
                <w:tab w:val="left" w:pos="709"/>
              </w:tabs>
              <w:autoSpaceDE w:val="0"/>
              <w:autoSpaceDN w:val="0"/>
              <w:adjustRightInd w:val="0"/>
              <w:rPr>
                <w:rFonts w:eastAsiaTheme="minorHAnsi"/>
                <w:lang w:eastAsia="en-US"/>
              </w:rPr>
            </w:pPr>
            <w:r>
              <w:rPr>
                <w:rFonts w:eastAsiaTheme="minorHAnsi"/>
                <w:lang w:eastAsia="en-US"/>
              </w:rPr>
              <w:t>-государственная пошлина</w:t>
            </w:r>
          </w:p>
        </w:tc>
        <w:tc>
          <w:tcPr>
            <w:tcW w:w="1701" w:type="dxa"/>
          </w:tcPr>
          <w:p w14:paraId="205C45D2">
            <w:pPr>
              <w:autoSpaceDE w:val="0"/>
              <w:autoSpaceDN w:val="0"/>
              <w:adjustRightInd w:val="0"/>
              <w:jc w:val="center"/>
              <w:rPr>
                <w:rFonts w:eastAsiaTheme="minorHAnsi"/>
                <w:sz w:val="22"/>
                <w:szCs w:val="22"/>
                <w:lang w:eastAsia="en-US"/>
              </w:rPr>
            </w:pPr>
            <w:r>
              <w:rPr>
                <w:rFonts w:eastAsiaTheme="minorHAnsi"/>
                <w:sz w:val="22"/>
                <w:szCs w:val="22"/>
                <w:lang w:eastAsia="en-US"/>
              </w:rPr>
              <w:t>0,00</w:t>
            </w:r>
          </w:p>
        </w:tc>
        <w:tc>
          <w:tcPr>
            <w:tcW w:w="2269" w:type="dxa"/>
          </w:tcPr>
          <w:p w14:paraId="049692B7">
            <w:pPr>
              <w:autoSpaceDE w:val="0"/>
              <w:autoSpaceDN w:val="0"/>
              <w:adjustRightInd w:val="0"/>
              <w:jc w:val="center"/>
              <w:rPr>
                <w:rFonts w:eastAsiaTheme="minorHAnsi"/>
                <w:sz w:val="22"/>
                <w:szCs w:val="22"/>
                <w:lang w:eastAsia="en-US"/>
              </w:rPr>
            </w:pPr>
            <w:r>
              <w:rPr>
                <w:rFonts w:eastAsiaTheme="minorHAnsi"/>
                <w:sz w:val="22"/>
                <w:szCs w:val="22"/>
                <w:lang w:eastAsia="en-US"/>
              </w:rPr>
              <w:t>0,0</w:t>
            </w:r>
          </w:p>
        </w:tc>
      </w:tr>
      <w:tr w14:paraId="34EAE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528" w:type="dxa"/>
            <w:shd w:val="clear" w:color="auto" w:fill="FFFF00"/>
          </w:tcPr>
          <w:p w14:paraId="4F32A83B">
            <w:pPr>
              <w:widowControl w:val="0"/>
              <w:tabs>
                <w:tab w:val="left" w:pos="709"/>
              </w:tabs>
              <w:autoSpaceDE w:val="0"/>
              <w:autoSpaceDN w:val="0"/>
              <w:adjustRightInd w:val="0"/>
              <w:rPr>
                <w:rFonts w:eastAsiaTheme="minorHAnsi"/>
                <w:lang w:eastAsia="en-US"/>
              </w:rPr>
            </w:pPr>
            <w:r>
              <w:rPr>
                <w:rFonts w:eastAsiaTheme="minorHAnsi"/>
                <w:lang w:eastAsia="en-US"/>
              </w:rPr>
              <w:t>Неналоговые доходы</w:t>
            </w:r>
          </w:p>
        </w:tc>
        <w:tc>
          <w:tcPr>
            <w:tcW w:w="1701" w:type="dxa"/>
            <w:shd w:val="clear" w:color="auto" w:fill="FFFF00"/>
          </w:tcPr>
          <w:p w14:paraId="4FA594E2">
            <w:pPr>
              <w:autoSpaceDE w:val="0"/>
              <w:autoSpaceDN w:val="0"/>
              <w:adjustRightInd w:val="0"/>
              <w:jc w:val="center"/>
              <w:rPr>
                <w:rFonts w:eastAsiaTheme="minorHAnsi"/>
                <w:sz w:val="22"/>
                <w:szCs w:val="22"/>
                <w:lang w:eastAsia="en-US"/>
              </w:rPr>
            </w:pPr>
            <w:r>
              <w:rPr>
                <w:rFonts w:eastAsiaTheme="minorHAnsi"/>
                <w:sz w:val="22"/>
                <w:szCs w:val="22"/>
                <w:lang w:eastAsia="en-US"/>
              </w:rPr>
              <w:t>315,00</w:t>
            </w:r>
          </w:p>
        </w:tc>
        <w:tc>
          <w:tcPr>
            <w:tcW w:w="2269" w:type="dxa"/>
            <w:shd w:val="clear" w:color="auto" w:fill="FFFF00"/>
          </w:tcPr>
          <w:p w14:paraId="2FB13302">
            <w:pPr>
              <w:autoSpaceDE w:val="0"/>
              <w:autoSpaceDN w:val="0"/>
              <w:adjustRightInd w:val="0"/>
              <w:jc w:val="center"/>
              <w:rPr>
                <w:rFonts w:eastAsiaTheme="minorHAnsi"/>
                <w:sz w:val="22"/>
                <w:szCs w:val="22"/>
                <w:lang w:eastAsia="en-US"/>
              </w:rPr>
            </w:pPr>
            <w:r>
              <w:rPr>
                <w:rFonts w:eastAsiaTheme="minorHAnsi"/>
                <w:sz w:val="22"/>
                <w:szCs w:val="22"/>
                <w:lang w:eastAsia="en-US"/>
              </w:rPr>
              <w:t>210,0</w:t>
            </w:r>
          </w:p>
        </w:tc>
      </w:tr>
      <w:tr w14:paraId="149D9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528" w:type="dxa"/>
          </w:tcPr>
          <w:p w14:paraId="3EECB5CB">
            <w:pPr>
              <w:widowControl w:val="0"/>
              <w:tabs>
                <w:tab w:val="left" w:pos="709"/>
              </w:tabs>
              <w:autoSpaceDE w:val="0"/>
              <w:autoSpaceDN w:val="0"/>
              <w:adjustRightInd w:val="0"/>
              <w:rPr>
                <w:rFonts w:eastAsiaTheme="minorHAnsi"/>
                <w:lang w:eastAsia="en-US"/>
              </w:rPr>
            </w:pPr>
            <w:r>
              <w:rPr>
                <w:rFonts w:eastAsiaTheme="minorHAnsi"/>
                <w:lang w:eastAsia="en-US"/>
              </w:rPr>
              <w:t>-доходы от сдачи в аренду имущества, находящегося в оперативном управлении органов управления сельских поселений</w:t>
            </w:r>
          </w:p>
        </w:tc>
        <w:tc>
          <w:tcPr>
            <w:tcW w:w="1701" w:type="dxa"/>
            <w:vAlign w:val="center"/>
          </w:tcPr>
          <w:p w14:paraId="72BF7AAC">
            <w:pPr>
              <w:autoSpaceDE w:val="0"/>
              <w:autoSpaceDN w:val="0"/>
              <w:adjustRightInd w:val="0"/>
              <w:jc w:val="center"/>
              <w:rPr>
                <w:rFonts w:eastAsiaTheme="minorHAnsi"/>
                <w:sz w:val="22"/>
                <w:szCs w:val="22"/>
                <w:lang w:eastAsia="en-US"/>
              </w:rPr>
            </w:pPr>
            <w:r>
              <w:rPr>
                <w:rFonts w:eastAsiaTheme="minorHAnsi"/>
                <w:sz w:val="22"/>
                <w:szCs w:val="22"/>
                <w:lang w:eastAsia="en-US"/>
              </w:rPr>
              <w:t>235,0</w:t>
            </w:r>
          </w:p>
        </w:tc>
        <w:tc>
          <w:tcPr>
            <w:tcW w:w="2269" w:type="dxa"/>
            <w:vAlign w:val="center"/>
          </w:tcPr>
          <w:p w14:paraId="6ED0F748">
            <w:pPr>
              <w:autoSpaceDE w:val="0"/>
              <w:autoSpaceDN w:val="0"/>
              <w:adjustRightInd w:val="0"/>
              <w:jc w:val="center"/>
              <w:rPr>
                <w:rFonts w:eastAsiaTheme="minorHAnsi"/>
                <w:sz w:val="22"/>
                <w:szCs w:val="22"/>
                <w:lang w:eastAsia="en-US"/>
              </w:rPr>
            </w:pPr>
            <w:r>
              <w:rPr>
                <w:rFonts w:eastAsiaTheme="minorHAnsi"/>
                <w:sz w:val="22"/>
                <w:szCs w:val="22"/>
                <w:lang w:eastAsia="en-US"/>
              </w:rPr>
              <w:t>202,00</w:t>
            </w:r>
          </w:p>
        </w:tc>
      </w:tr>
      <w:tr w14:paraId="11EAA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528" w:type="dxa"/>
          </w:tcPr>
          <w:p w14:paraId="4F814DCD">
            <w:pPr>
              <w:widowControl w:val="0"/>
              <w:tabs>
                <w:tab w:val="left" w:pos="709"/>
              </w:tabs>
              <w:autoSpaceDE w:val="0"/>
              <w:autoSpaceDN w:val="0"/>
              <w:adjustRightInd w:val="0"/>
              <w:rPr>
                <w:rFonts w:eastAsiaTheme="minorHAnsi"/>
                <w:lang w:eastAsia="en-US"/>
              </w:rPr>
            </w:pPr>
            <w:r>
              <w:rPr>
                <w:rFonts w:eastAsiaTheme="minorHAnsi"/>
                <w:lang w:eastAsia="en-US"/>
              </w:rPr>
              <w:t>-доходы от оказания платных услуг</w:t>
            </w:r>
          </w:p>
        </w:tc>
        <w:tc>
          <w:tcPr>
            <w:tcW w:w="1701" w:type="dxa"/>
          </w:tcPr>
          <w:p w14:paraId="4695F94C">
            <w:pPr>
              <w:autoSpaceDE w:val="0"/>
              <w:autoSpaceDN w:val="0"/>
              <w:adjustRightInd w:val="0"/>
              <w:jc w:val="center"/>
              <w:rPr>
                <w:rFonts w:eastAsiaTheme="minorHAnsi"/>
                <w:sz w:val="22"/>
                <w:szCs w:val="22"/>
                <w:lang w:eastAsia="en-US"/>
              </w:rPr>
            </w:pPr>
            <w:r>
              <w:rPr>
                <w:rFonts w:eastAsiaTheme="minorHAnsi"/>
                <w:sz w:val="22"/>
                <w:szCs w:val="22"/>
                <w:lang w:eastAsia="en-US"/>
              </w:rPr>
              <w:t>80,0</w:t>
            </w:r>
          </w:p>
        </w:tc>
        <w:tc>
          <w:tcPr>
            <w:tcW w:w="2269" w:type="dxa"/>
          </w:tcPr>
          <w:p w14:paraId="3C140332">
            <w:pPr>
              <w:autoSpaceDE w:val="0"/>
              <w:autoSpaceDN w:val="0"/>
              <w:adjustRightInd w:val="0"/>
              <w:jc w:val="center"/>
              <w:rPr>
                <w:rFonts w:eastAsiaTheme="minorHAnsi"/>
                <w:sz w:val="22"/>
                <w:szCs w:val="22"/>
                <w:lang w:eastAsia="en-US"/>
              </w:rPr>
            </w:pPr>
            <w:r>
              <w:rPr>
                <w:rFonts w:eastAsiaTheme="minorHAnsi"/>
                <w:sz w:val="22"/>
                <w:szCs w:val="22"/>
                <w:lang w:eastAsia="en-US"/>
              </w:rPr>
              <w:t>60,0</w:t>
            </w:r>
          </w:p>
        </w:tc>
      </w:tr>
      <w:tr w14:paraId="22164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528" w:type="dxa"/>
          </w:tcPr>
          <w:p w14:paraId="0BE52BEB">
            <w:pPr>
              <w:widowControl w:val="0"/>
              <w:tabs>
                <w:tab w:val="left" w:pos="709"/>
              </w:tabs>
              <w:autoSpaceDE w:val="0"/>
              <w:autoSpaceDN w:val="0"/>
              <w:adjustRightInd w:val="0"/>
              <w:rPr>
                <w:rFonts w:eastAsiaTheme="minorHAnsi"/>
                <w:lang w:eastAsia="en-US"/>
              </w:rPr>
            </w:pPr>
            <w:r>
              <w:rPr>
                <w:rFonts w:eastAsiaTheme="minorHAnsi"/>
                <w:lang w:eastAsia="en-US"/>
              </w:rPr>
              <w:t>-доходы от продажи материальных и нематериальных активов</w:t>
            </w:r>
          </w:p>
        </w:tc>
        <w:tc>
          <w:tcPr>
            <w:tcW w:w="1701" w:type="dxa"/>
          </w:tcPr>
          <w:p w14:paraId="0BDDA555">
            <w:pPr>
              <w:autoSpaceDE w:val="0"/>
              <w:autoSpaceDN w:val="0"/>
              <w:adjustRightInd w:val="0"/>
              <w:jc w:val="center"/>
              <w:rPr>
                <w:rFonts w:eastAsiaTheme="minorHAnsi"/>
                <w:sz w:val="22"/>
                <w:szCs w:val="22"/>
                <w:lang w:eastAsia="en-US"/>
              </w:rPr>
            </w:pPr>
            <w:r>
              <w:rPr>
                <w:rFonts w:eastAsiaTheme="minorHAnsi"/>
                <w:sz w:val="22"/>
                <w:szCs w:val="22"/>
                <w:lang w:eastAsia="en-US"/>
              </w:rPr>
              <w:t>0</w:t>
            </w:r>
          </w:p>
        </w:tc>
        <w:tc>
          <w:tcPr>
            <w:tcW w:w="2269" w:type="dxa"/>
          </w:tcPr>
          <w:p w14:paraId="635853B6">
            <w:pPr>
              <w:autoSpaceDE w:val="0"/>
              <w:autoSpaceDN w:val="0"/>
              <w:adjustRightInd w:val="0"/>
              <w:jc w:val="center"/>
              <w:rPr>
                <w:rFonts w:eastAsiaTheme="minorHAnsi"/>
                <w:sz w:val="22"/>
                <w:szCs w:val="22"/>
                <w:lang w:eastAsia="en-US"/>
              </w:rPr>
            </w:pPr>
          </w:p>
        </w:tc>
      </w:tr>
      <w:tr w14:paraId="2E1AA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5528" w:type="dxa"/>
          </w:tcPr>
          <w:p w14:paraId="2EB3F76C">
            <w:pPr>
              <w:widowControl w:val="0"/>
              <w:tabs>
                <w:tab w:val="left" w:pos="709"/>
              </w:tabs>
              <w:autoSpaceDE w:val="0"/>
              <w:autoSpaceDN w:val="0"/>
              <w:adjustRightInd w:val="0"/>
              <w:rPr>
                <w:rFonts w:eastAsiaTheme="minorHAnsi"/>
                <w:lang w:eastAsia="en-US"/>
              </w:rPr>
            </w:pPr>
            <w:r>
              <w:rPr>
                <w:rFonts w:eastAsiaTheme="minorHAnsi"/>
                <w:lang w:eastAsia="en-US"/>
              </w:rPr>
              <w:t>-штраф</w:t>
            </w:r>
          </w:p>
        </w:tc>
        <w:tc>
          <w:tcPr>
            <w:tcW w:w="1701" w:type="dxa"/>
          </w:tcPr>
          <w:p w14:paraId="3FAB6B50">
            <w:pPr>
              <w:autoSpaceDE w:val="0"/>
              <w:autoSpaceDN w:val="0"/>
              <w:adjustRightInd w:val="0"/>
              <w:jc w:val="center"/>
              <w:rPr>
                <w:rFonts w:eastAsiaTheme="minorHAnsi"/>
                <w:sz w:val="22"/>
                <w:szCs w:val="22"/>
                <w:lang w:eastAsia="en-US"/>
              </w:rPr>
            </w:pPr>
            <w:r>
              <w:rPr>
                <w:rFonts w:eastAsiaTheme="minorHAnsi"/>
                <w:sz w:val="22"/>
                <w:szCs w:val="22"/>
                <w:lang w:eastAsia="en-US"/>
              </w:rPr>
              <w:t>0,0</w:t>
            </w:r>
          </w:p>
        </w:tc>
        <w:tc>
          <w:tcPr>
            <w:tcW w:w="2269" w:type="dxa"/>
          </w:tcPr>
          <w:p w14:paraId="791EE2DC">
            <w:pPr>
              <w:autoSpaceDE w:val="0"/>
              <w:autoSpaceDN w:val="0"/>
              <w:adjustRightInd w:val="0"/>
              <w:jc w:val="center"/>
              <w:rPr>
                <w:rFonts w:eastAsiaTheme="minorHAnsi"/>
                <w:sz w:val="22"/>
                <w:szCs w:val="22"/>
                <w:lang w:eastAsia="en-US"/>
              </w:rPr>
            </w:pPr>
          </w:p>
        </w:tc>
      </w:tr>
      <w:tr w14:paraId="034D1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8" w:type="dxa"/>
            <w:shd w:val="clear" w:color="auto" w:fill="FFFF00"/>
          </w:tcPr>
          <w:p w14:paraId="68511609">
            <w:pPr>
              <w:widowControl w:val="0"/>
              <w:tabs>
                <w:tab w:val="left" w:pos="709"/>
              </w:tabs>
              <w:autoSpaceDE w:val="0"/>
              <w:autoSpaceDN w:val="0"/>
              <w:adjustRightInd w:val="0"/>
              <w:rPr>
                <w:rFonts w:eastAsiaTheme="minorHAnsi"/>
                <w:lang w:eastAsia="en-US"/>
              </w:rPr>
            </w:pPr>
            <w:r>
              <w:rPr>
                <w:rFonts w:eastAsiaTheme="minorHAnsi"/>
                <w:lang w:eastAsia="en-US"/>
              </w:rPr>
              <w:t>Безвозмездные поступления</w:t>
            </w:r>
          </w:p>
        </w:tc>
        <w:tc>
          <w:tcPr>
            <w:tcW w:w="1701" w:type="dxa"/>
            <w:shd w:val="clear" w:color="auto" w:fill="FFFF00"/>
          </w:tcPr>
          <w:p w14:paraId="488FD909">
            <w:pPr>
              <w:autoSpaceDE w:val="0"/>
              <w:autoSpaceDN w:val="0"/>
              <w:adjustRightInd w:val="0"/>
              <w:jc w:val="center"/>
              <w:rPr>
                <w:rFonts w:eastAsiaTheme="minorHAnsi"/>
                <w:sz w:val="22"/>
                <w:szCs w:val="22"/>
                <w:lang w:eastAsia="en-US"/>
              </w:rPr>
            </w:pPr>
            <w:r>
              <w:rPr>
                <w:rFonts w:eastAsiaTheme="minorHAnsi"/>
                <w:sz w:val="22"/>
                <w:szCs w:val="22"/>
                <w:lang w:eastAsia="en-US"/>
              </w:rPr>
              <w:t>4272,80</w:t>
            </w:r>
          </w:p>
        </w:tc>
        <w:tc>
          <w:tcPr>
            <w:tcW w:w="2269" w:type="dxa"/>
            <w:shd w:val="clear" w:color="auto" w:fill="FFFF00"/>
          </w:tcPr>
          <w:p w14:paraId="737B4FB0">
            <w:pPr>
              <w:autoSpaceDE w:val="0"/>
              <w:autoSpaceDN w:val="0"/>
              <w:adjustRightInd w:val="0"/>
              <w:jc w:val="center"/>
              <w:rPr>
                <w:rFonts w:eastAsiaTheme="minorHAnsi"/>
                <w:sz w:val="22"/>
                <w:szCs w:val="22"/>
                <w:lang w:eastAsia="en-US"/>
              </w:rPr>
            </w:pPr>
            <w:r>
              <w:rPr>
                <w:rFonts w:eastAsiaTheme="minorHAnsi"/>
                <w:sz w:val="22"/>
                <w:szCs w:val="22"/>
                <w:lang w:eastAsia="en-US"/>
              </w:rPr>
              <w:t>4182,00</w:t>
            </w:r>
          </w:p>
        </w:tc>
      </w:tr>
      <w:tr w14:paraId="56C7B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8" w:type="dxa"/>
          </w:tcPr>
          <w:p w14:paraId="309A33EE">
            <w:pPr>
              <w:widowControl w:val="0"/>
              <w:tabs>
                <w:tab w:val="left" w:pos="709"/>
              </w:tabs>
              <w:autoSpaceDE w:val="0"/>
              <w:autoSpaceDN w:val="0"/>
              <w:adjustRightInd w:val="0"/>
              <w:rPr>
                <w:rFonts w:eastAsiaTheme="minorHAnsi"/>
                <w:lang w:eastAsia="en-US"/>
              </w:rPr>
            </w:pPr>
          </w:p>
        </w:tc>
        <w:tc>
          <w:tcPr>
            <w:tcW w:w="1701" w:type="dxa"/>
          </w:tcPr>
          <w:p w14:paraId="6675B026">
            <w:pPr>
              <w:autoSpaceDE w:val="0"/>
              <w:autoSpaceDN w:val="0"/>
              <w:adjustRightInd w:val="0"/>
              <w:jc w:val="center"/>
              <w:rPr>
                <w:rFonts w:eastAsiaTheme="minorHAnsi"/>
                <w:sz w:val="22"/>
                <w:szCs w:val="22"/>
                <w:lang w:eastAsia="en-US"/>
              </w:rPr>
            </w:pPr>
          </w:p>
        </w:tc>
        <w:tc>
          <w:tcPr>
            <w:tcW w:w="2269" w:type="dxa"/>
          </w:tcPr>
          <w:p w14:paraId="67D7E849">
            <w:pPr>
              <w:autoSpaceDE w:val="0"/>
              <w:autoSpaceDN w:val="0"/>
              <w:adjustRightInd w:val="0"/>
              <w:jc w:val="center"/>
              <w:rPr>
                <w:rFonts w:eastAsiaTheme="minorHAnsi"/>
                <w:sz w:val="22"/>
                <w:szCs w:val="22"/>
                <w:lang w:eastAsia="en-US"/>
              </w:rPr>
            </w:pPr>
          </w:p>
        </w:tc>
      </w:tr>
    </w:tbl>
    <w:p w14:paraId="6B93016F">
      <w:pPr>
        <w:widowControl w:val="0"/>
        <w:tabs>
          <w:tab w:val="left" w:pos="709"/>
        </w:tabs>
        <w:autoSpaceDE w:val="0"/>
        <w:autoSpaceDN w:val="0"/>
        <w:adjustRightInd w:val="0"/>
        <w:jc w:val="both"/>
        <w:rPr>
          <w:rFonts w:eastAsiaTheme="minorHAnsi"/>
          <w:sz w:val="24"/>
          <w:szCs w:val="24"/>
          <w:lang w:eastAsia="en-US"/>
        </w:rPr>
      </w:pPr>
    </w:p>
    <w:p w14:paraId="06F31D99">
      <w:pPr>
        <w:widowControl w:val="0"/>
        <w:tabs>
          <w:tab w:val="left" w:pos="709"/>
        </w:tabs>
        <w:autoSpaceDE w:val="0"/>
        <w:autoSpaceDN w:val="0"/>
        <w:adjustRightInd w:val="0"/>
        <w:jc w:val="both"/>
        <w:rPr>
          <w:rFonts w:eastAsiaTheme="minorHAnsi"/>
          <w:sz w:val="24"/>
          <w:szCs w:val="24"/>
          <w:lang w:eastAsia="en-US"/>
        </w:rPr>
      </w:pPr>
      <w:r>
        <w:rPr>
          <w:rFonts w:eastAsiaTheme="minorHAnsi"/>
          <w:sz w:val="24"/>
          <w:szCs w:val="24"/>
          <w:lang w:eastAsia="en-US"/>
        </w:rPr>
        <w:t>Безвозмездные поступления от других бюджетов бюджетной системы РФ спрогнозированы в сумме 4182,00 тыс. рублей, на основании  проекта бюджета  Пудожского муниципального района, в том числе:</w:t>
      </w:r>
    </w:p>
    <w:p w14:paraId="1811D48B">
      <w:pPr>
        <w:widowControl w:val="0"/>
        <w:tabs>
          <w:tab w:val="left" w:pos="709"/>
        </w:tabs>
        <w:autoSpaceDE w:val="0"/>
        <w:autoSpaceDN w:val="0"/>
        <w:adjustRightInd w:val="0"/>
        <w:rPr>
          <w:rFonts w:eastAsiaTheme="minorHAnsi"/>
          <w:sz w:val="24"/>
          <w:szCs w:val="24"/>
          <w:lang w:eastAsia="en-US"/>
        </w:rPr>
      </w:pPr>
      <w:r>
        <w:rPr>
          <w:rFonts w:eastAsiaTheme="minorHAnsi"/>
          <w:sz w:val="24"/>
          <w:szCs w:val="24"/>
          <w:lang w:eastAsia="en-US"/>
        </w:rPr>
        <w:t>-о выделении дотации поселению в сумме 2384,50 тыс. рублей.</w:t>
      </w:r>
    </w:p>
    <w:p w14:paraId="2D1864B9">
      <w:pPr>
        <w:widowControl w:val="0"/>
        <w:tabs>
          <w:tab w:val="left" w:pos="709"/>
        </w:tabs>
        <w:autoSpaceDE w:val="0"/>
        <w:autoSpaceDN w:val="0"/>
        <w:adjustRightInd w:val="0"/>
        <w:rPr>
          <w:rFonts w:eastAsiaTheme="minorHAnsi"/>
          <w:sz w:val="24"/>
          <w:szCs w:val="24"/>
          <w:lang w:eastAsia="en-US"/>
        </w:rPr>
      </w:pPr>
      <w:r>
        <w:rPr>
          <w:rFonts w:eastAsiaTheme="minorHAnsi"/>
          <w:sz w:val="24"/>
          <w:szCs w:val="24"/>
          <w:lang w:eastAsia="en-US"/>
        </w:rPr>
        <w:t>-на реализацию переданных государственных полномочий по воинскому учету – 379,00 тыс. рублей</w:t>
      </w:r>
    </w:p>
    <w:p w14:paraId="3AB27068">
      <w:pPr>
        <w:widowControl w:val="0"/>
        <w:tabs>
          <w:tab w:val="left" w:pos="709"/>
        </w:tabs>
        <w:autoSpaceDE w:val="0"/>
        <w:autoSpaceDN w:val="0"/>
        <w:adjustRightInd w:val="0"/>
        <w:spacing w:line="276" w:lineRule="auto"/>
        <w:rPr>
          <w:rFonts w:eastAsiaTheme="minorHAnsi"/>
          <w:sz w:val="24"/>
          <w:szCs w:val="24"/>
          <w:lang w:eastAsia="en-US"/>
        </w:rPr>
      </w:pPr>
      <w:r>
        <w:rPr>
          <w:rFonts w:eastAsiaTheme="minorHAnsi"/>
          <w:sz w:val="24"/>
          <w:szCs w:val="24"/>
          <w:lang w:eastAsia="en-US"/>
        </w:rPr>
        <w:t xml:space="preserve">- на реализацию по переданным полномочиям –1416,50 тыс. рублей, </w:t>
      </w:r>
    </w:p>
    <w:p w14:paraId="3B80A751">
      <w:pPr>
        <w:rPr>
          <w:rFonts w:eastAsiaTheme="minorHAnsi"/>
          <w:sz w:val="24"/>
          <w:szCs w:val="24"/>
        </w:rPr>
      </w:pPr>
      <w:r>
        <w:rPr>
          <w:rFonts w:eastAsiaTheme="minorHAnsi"/>
          <w:sz w:val="24"/>
          <w:szCs w:val="24"/>
        </w:rPr>
        <w:t>- на частичную компенсацию дополнительных расходов на повышение оплаты труда работников культуры – 0,00 тыс. рублей.</w:t>
      </w:r>
    </w:p>
    <w:p w14:paraId="3985D47B">
      <w:pPr>
        <w:rPr>
          <w:rFonts w:eastAsiaTheme="minorHAnsi"/>
          <w:sz w:val="24"/>
          <w:szCs w:val="24"/>
        </w:rPr>
      </w:pPr>
      <w:r>
        <w:rPr>
          <w:rFonts w:eastAsiaTheme="minorHAnsi"/>
          <w:sz w:val="24"/>
          <w:szCs w:val="24"/>
        </w:rPr>
        <w:t>- на выполнение передаваемых государственных  полномочий – 2,0 тыс. рублей</w:t>
      </w:r>
    </w:p>
    <w:p w14:paraId="2B3B5D8C">
      <w:pPr>
        <w:rPr>
          <w:rFonts w:eastAsiaTheme="minorHAnsi"/>
          <w:sz w:val="24"/>
          <w:szCs w:val="24"/>
        </w:rPr>
      </w:pPr>
    </w:p>
    <w:p w14:paraId="6957AD2A">
      <w:pPr>
        <w:autoSpaceDE w:val="0"/>
        <w:autoSpaceDN w:val="0"/>
        <w:adjustRightInd w:val="0"/>
        <w:jc w:val="center"/>
        <w:rPr>
          <w:rFonts w:eastAsiaTheme="minorHAnsi"/>
          <w:b/>
          <w:sz w:val="24"/>
          <w:szCs w:val="24"/>
          <w:u w:val="single"/>
          <w:lang w:eastAsia="en-US"/>
        </w:rPr>
      </w:pPr>
    </w:p>
    <w:p w14:paraId="1AFD6435">
      <w:pPr>
        <w:autoSpaceDE w:val="0"/>
        <w:autoSpaceDN w:val="0"/>
        <w:adjustRightInd w:val="0"/>
        <w:jc w:val="center"/>
        <w:rPr>
          <w:rFonts w:eastAsiaTheme="minorHAnsi"/>
          <w:b/>
          <w:sz w:val="24"/>
          <w:szCs w:val="24"/>
          <w:u w:val="single"/>
          <w:lang w:eastAsia="en-US"/>
        </w:rPr>
      </w:pPr>
      <w:r>
        <w:rPr>
          <w:rFonts w:eastAsiaTheme="minorHAnsi"/>
          <w:b/>
          <w:sz w:val="24"/>
          <w:szCs w:val="24"/>
          <w:u w:val="single"/>
          <w:lang w:eastAsia="en-US"/>
        </w:rPr>
        <w:t>РАСХОДЫ  БЮДЖЕТА</w:t>
      </w:r>
    </w:p>
    <w:p w14:paraId="01024C51">
      <w:pPr>
        <w:autoSpaceDE w:val="0"/>
        <w:autoSpaceDN w:val="0"/>
        <w:adjustRightInd w:val="0"/>
        <w:jc w:val="center"/>
        <w:rPr>
          <w:rFonts w:eastAsiaTheme="minorHAnsi"/>
          <w:b/>
          <w:sz w:val="28"/>
          <w:szCs w:val="28"/>
          <w:u w:val="single"/>
          <w:lang w:eastAsia="en-US"/>
        </w:rPr>
      </w:pPr>
    </w:p>
    <w:p w14:paraId="0ED149BD">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         При формировании расходной части бюджета учтены основные направления бюджетной политики и налоговой политики Кубовского сельского поселения на 2026 год.  Проект бюджета сельского поселения на 2026 год сформирован сбалансированным.</w:t>
      </w:r>
    </w:p>
    <w:p w14:paraId="040AD194">
      <w:pPr>
        <w:ind w:firstLine="284"/>
        <w:jc w:val="both"/>
        <w:rPr>
          <w:rFonts w:eastAsia="Calibri"/>
          <w:b/>
          <w:sz w:val="24"/>
          <w:szCs w:val="24"/>
          <w:lang w:eastAsia="en-US"/>
        </w:rPr>
      </w:pPr>
      <w:r>
        <w:rPr>
          <w:sz w:val="24"/>
          <w:szCs w:val="24"/>
        </w:rPr>
        <w:t xml:space="preserve">   Структура расходов бюджета Кубовского </w:t>
      </w:r>
      <w:r>
        <w:rPr>
          <w:rFonts w:eastAsiaTheme="minorHAnsi"/>
          <w:sz w:val="24"/>
          <w:szCs w:val="24"/>
          <w:lang w:eastAsia="en-US"/>
        </w:rPr>
        <w:t xml:space="preserve">сельского поселения </w:t>
      </w:r>
      <w:r>
        <w:rPr>
          <w:sz w:val="24"/>
          <w:szCs w:val="24"/>
        </w:rPr>
        <w:t>на 2026 год в сравнении с 2025 годом по разделам классификации расходов бюджетов:</w:t>
      </w:r>
    </w:p>
    <w:p w14:paraId="43B2D134">
      <w:pPr>
        <w:ind w:firstLine="284"/>
        <w:jc w:val="right"/>
        <w:rPr>
          <w:sz w:val="22"/>
          <w:szCs w:val="22"/>
        </w:rPr>
      </w:pPr>
      <w:r>
        <w:rPr>
          <w:sz w:val="22"/>
          <w:szCs w:val="22"/>
        </w:rPr>
        <w:t>(тыс. рублей)</w:t>
      </w:r>
    </w:p>
    <w:tbl>
      <w:tblPr>
        <w:tblStyle w:val="3"/>
        <w:tblW w:w="9528" w:type="dxa"/>
        <w:tblInd w:w="0" w:type="dxa"/>
        <w:tblLayout w:type="fixed"/>
        <w:tblCellMar>
          <w:top w:w="0" w:type="dxa"/>
          <w:left w:w="30" w:type="dxa"/>
          <w:bottom w:w="0" w:type="dxa"/>
          <w:right w:w="30" w:type="dxa"/>
        </w:tblCellMar>
      </w:tblPr>
      <w:tblGrid>
        <w:gridCol w:w="814"/>
        <w:gridCol w:w="5737"/>
        <w:gridCol w:w="1701"/>
        <w:gridCol w:w="1276"/>
      </w:tblGrid>
      <w:tr w14:paraId="0132AC7A">
        <w:tblPrEx>
          <w:tblCellMar>
            <w:top w:w="0" w:type="dxa"/>
            <w:left w:w="30" w:type="dxa"/>
            <w:bottom w:w="0" w:type="dxa"/>
            <w:right w:w="30" w:type="dxa"/>
          </w:tblCellMar>
        </w:tblPrEx>
        <w:trPr>
          <w:trHeight w:val="821" w:hRule="atLeast"/>
        </w:trPr>
        <w:tc>
          <w:tcPr>
            <w:tcW w:w="814" w:type="dxa"/>
            <w:tcBorders>
              <w:top w:val="single" w:color="auto" w:sz="6" w:space="0"/>
              <w:left w:val="single" w:color="auto" w:sz="6" w:space="0"/>
              <w:bottom w:val="single" w:color="auto" w:sz="6" w:space="0"/>
              <w:right w:val="single" w:color="auto" w:sz="6" w:space="0"/>
            </w:tcBorders>
          </w:tcPr>
          <w:p w14:paraId="399FEC56">
            <w:pPr>
              <w:autoSpaceDE w:val="0"/>
              <w:autoSpaceDN w:val="0"/>
              <w:adjustRightInd w:val="0"/>
              <w:jc w:val="center"/>
              <w:rPr>
                <w:color w:val="000000"/>
                <w:sz w:val="22"/>
                <w:szCs w:val="22"/>
              </w:rPr>
            </w:pPr>
            <w:r>
              <w:rPr>
                <w:color w:val="000000"/>
                <w:sz w:val="22"/>
                <w:szCs w:val="22"/>
              </w:rPr>
              <w:t>раздел</w:t>
            </w:r>
          </w:p>
        </w:tc>
        <w:tc>
          <w:tcPr>
            <w:tcW w:w="5737" w:type="dxa"/>
            <w:tcBorders>
              <w:top w:val="single" w:color="auto" w:sz="6" w:space="0"/>
              <w:left w:val="single" w:color="auto" w:sz="6" w:space="0"/>
              <w:bottom w:val="single" w:color="auto" w:sz="6" w:space="0"/>
              <w:right w:val="single" w:color="auto" w:sz="6" w:space="0"/>
            </w:tcBorders>
          </w:tcPr>
          <w:p w14:paraId="1F360240">
            <w:pPr>
              <w:autoSpaceDE w:val="0"/>
              <w:autoSpaceDN w:val="0"/>
              <w:adjustRightInd w:val="0"/>
              <w:jc w:val="center"/>
              <w:rPr>
                <w:color w:val="000000"/>
                <w:sz w:val="22"/>
                <w:szCs w:val="22"/>
              </w:rPr>
            </w:pPr>
            <w:r>
              <w:rPr>
                <w:color w:val="000000"/>
                <w:sz w:val="22"/>
                <w:szCs w:val="22"/>
              </w:rPr>
              <w:t>наименование</w:t>
            </w:r>
          </w:p>
        </w:tc>
        <w:tc>
          <w:tcPr>
            <w:tcW w:w="1701" w:type="dxa"/>
            <w:tcBorders>
              <w:top w:val="single" w:color="auto" w:sz="6" w:space="0"/>
              <w:left w:val="single" w:color="auto" w:sz="6" w:space="0"/>
              <w:bottom w:val="single" w:color="auto" w:sz="6" w:space="0"/>
              <w:right w:val="single" w:color="auto" w:sz="4" w:space="0"/>
            </w:tcBorders>
          </w:tcPr>
          <w:p w14:paraId="21C02E39">
            <w:pPr>
              <w:autoSpaceDE w:val="0"/>
              <w:autoSpaceDN w:val="0"/>
              <w:adjustRightInd w:val="0"/>
              <w:jc w:val="center"/>
            </w:pPr>
            <w:r>
              <w:t>Утверждено на 2025 год  (с учетом поправок на 01.10.2025г)</w:t>
            </w:r>
          </w:p>
        </w:tc>
        <w:tc>
          <w:tcPr>
            <w:tcW w:w="1276" w:type="dxa"/>
            <w:tcBorders>
              <w:top w:val="single" w:color="auto" w:sz="6" w:space="0"/>
              <w:left w:val="single" w:color="auto" w:sz="4" w:space="0"/>
              <w:bottom w:val="single" w:color="auto" w:sz="6" w:space="0"/>
              <w:right w:val="single" w:color="auto" w:sz="6" w:space="0"/>
            </w:tcBorders>
          </w:tcPr>
          <w:p w14:paraId="59DF85F8">
            <w:pPr>
              <w:autoSpaceDE w:val="0"/>
              <w:autoSpaceDN w:val="0"/>
              <w:adjustRightInd w:val="0"/>
              <w:jc w:val="center"/>
              <w:rPr>
                <w:color w:val="000000"/>
                <w:sz w:val="22"/>
                <w:szCs w:val="22"/>
              </w:rPr>
            </w:pPr>
            <w:r>
              <w:rPr>
                <w:color w:val="000000"/>
                <w:sz w:val="22"/>
                <w:szCs w:val="22"/>
              </w:rPr>
              <w:t>Проект решения на 2026 год</w:t>
            </w:r>
          </w:p>
        </w:tc>
      </w:tr>
      <w:tr w14:paraId="3C82D946">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1FA46573">
            <w:pPr>
              <w:autoSpaceDE w:val="0"/>
              <w:autoSpaceDN w:val="0"/>
              <w:adjustRightInd w:val="0"/>
              <w:jc w:val="center"/>
              <w:rPr>
                <w:color w:val="000000"/>
                <w:sz w:val="22"/>
                <w:szCs w:val="22"/>
              </w:rPr>
            </w:pPr>
            <w:r>
              <w:rPr>
                <w:color w:val="000000"/>
                <w:sz w:val="22"/>
                <w:szCs w:val="22"/>
              </w:rPr>
              <w:t>01</w:t>
            </w:r>
          </w:p>
        </w:tc>
        <w:tc>
          <w:tcPr>
            <w:tcW w:w="5737" w:type="dxa"/>
            <w:tcBorders>
              <w:top w:val="single" w:color="auto" w:sz="6" w:space="0"/>
              <w:left w:val="single" w:color="auto" w:sz="6" w:space="0"/>
              <w:bottom w:val="single" w:color="auto" w:sz="6" w:space="0"/>
              <w:right w:val="single" w:color="auto" w:sz="6" w:space="0"/>
            </w:tcBorders>
          </w:tcPr>
          <w:p w14:paraId="1C93608A">
            <w:pPr>
              <w:autoSpaceDE w:val="0"/>
              <w:autoSpaceDN w:val="0"/>
              <w:adjustRightInd w:val="0"/>
              <w:rPr>
                <w:color w:val="000000"/>
                <w:sz w:val="22"/>
                <w:szCs w:val="22"/>
              </w:rPr>
            </w:pPr>
            <w:r>
              <w:rPr>
                <w:color w:val="000000"/>
                <w:sz w:val="22"/>
                <w:szCs w:val="22"/>
              </w:rPr>
              <w:t>Общегосударственные расходы</w:t>
            </w:r>
          </w:p>
        </w:tc>
        <w:tc>
          <w:tcPr>
            <w:tcW w:w="1701" w:type="dxa"/>
            <w:tcBorders>
              <w:top w:val="single" w:color="auto" w:sz="6" w:space="0"/>
              <w:left w:val="single" w:color="auto" w:sz="6" w:space="0"/>
              <w:bottom w:val="single" w:color="auto" w:sz="6" w:space="0"/>
              <w:right w:val="single" w:color="auto" w:sz="4" w:space="0"/>
            </w:tcBorders>
            <w:vAlign w:val="center"/>
          </w:tcPr>
          <w:p w14:paraId="7F9FE3D5">
            <w:pPr>
              <w:autoSpaceDE w:val="0"/>
              <w:autoSpaceDN w:val="0"/>
              <w:adjustRightInd w:val="0"/>
              <w:jc w:val="center"/>
              <w:rPr>
                <w:sz w:val="22"/>
                <w:szCs w:val="22"/>
              </w:rPr>
            </w:pPr>
            <w:r>
              <w:rPr>
                <w:sz w:val="22"/>
                <w:szCs w:val="22"/>
              </w:rPr>
              <w:t>3277,30</w:t>
            </w:r>
          </w:p>
        </w:tc>
        <w:tc>
          <w:tcPr>
            <w:tcW w:w="1276" w:type="dxa"/>
            <w:tcBorders>
              <w:top w:val="single" w:color="auto" w:sz="6" w:space="0"/>
              <w:left w:val="single" w:color="auto" w:sz="4" w:space="0"/>
              <w:bottom w:val="single" w:color="auto" w:sz="6" w:space="0"/>
              <w:right w:val="single" w:color="auto" w:sz="6" w:space="0"/>
            </w:tcBorders>
            <w:vAlign w:val="center"/>
          </w:tcPr>
          <w:p w14:paraId="33059C90">
            <w:pPr>
              <w:autoSpaceDE w:val="0"/>
              <w:autoSpaceDN w:val="0"/>
              <w:adjustRightInd w:val="0"/>
              <w:jc w:val="center"/>
              <w:rPr>
                <w:color w:val="000000"/>
                <w:sz w:val="22"/>
                <w:szCs w:val="22"/>
              </w:rPr>
            </w:pPr>
            <w:r>
              <w:rPr>
                <w:color w:val="000000"/>
                <w:sz w:val="22"/>
                <w:szCs w:val="22"/>
              </w:rPr>
              <w:t>2009,50</w:t>
            </w:r>
          </w:p>
        </w:tc>
      </w:tr>
      <w:tr w14:paraId="7B67EEC0">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65DF9411">
            <w:pPr>
              <w:autoSpaceDE w:val="0"/>
              <w:autoSpaceDN w:val="0"/>
              <w:adjustRightInd w:val="0"/>
              <w:jc w:val="center"/>
              <w:rPr>
                <w:color w:val="000000"/>
                <w:sz w:val="22"/>
                <w:szCs w:val="22"/>
              </w:rPr>
            </w:pPr>
            <w:r>
              <w:rPr>
                <w:color w:val="000000"/>
                <w:sz w:val="22"/>
                <w:szCs w:val="22"/>
              </w:rPr>
              <w:t>02</w:t>
            </w:r>
          </w:p>
        </w:tc>
        <w:tc>
          <w:tcPr>
            <w:tcW w:w="5737" w:type="dxa"/>
            <w:tcBorders>
              <w:top w:val="single" w:color="auto" w:sz="6" w:space="0"/>
              <w:left w:val="single" w:color="auto" w:sz="6" w:space="0"/>
              <w:bottom w:val="single" w:color="auto" w:sz="6" w:space="0"/>
              <w:right w:val="single" w:color="auto" w:sz="6" w:space="0"/>
            </w:tcBorders>
          </w:tcPr>
          <w:p w14:paraId="0A9E55D2">
            <w:pPr>
              <w:autoSpaceDE w:val="0"/>
              <w:autoSpaceDN w:val="0"/>
              <w:adjustRightInd w:val="0"/>
              <w:rPr>
                <w:color w:val="000000"/>
                <w:sz w:val="22"/>
                <w:szCs w:val="22"/>
              </w:rPr>
            </w:pPr>
            <w:r>
              <w:rPr>
                <w:color w:val="000000"/>
                <w:sz w:val="22"/>
                <w:szCs w:val="22"/>
              </w:rPr>
              <w:t>Национальная оборона</w:t>
            </w:r>
          </w:p>
        </w:tc>
        <w:tc>
          <w:tcPr>
            <w:tcW w:w="1701" w:type="dxa"/>
            <w:tcBorders>
              <w:top w:val="single" w:color="auto" w:sz="6" w:space="0"/>
              <w:left w:val="single" w:color="auto" w:sz="6" w:space="0"/>
              <w:bottom w:val="single" w:color="auto" w:sz="6" w:space="0"/>
              <w:right w:val="single" w:color="auto" w:sz="4" w:space="0"/>
            </w:tcBorders>
            <w:vAlign w:val="center"/>
          </w:tcPr>
          <w:p w14:paraId="17537516">
            <w:pPr>
              <w:autoSpaceDE w:val="0"/>
              <w:autoSpaceDN w:val="0"/>
              <w:adjustRightInd w:val="0"/>
              <w:jc w:val="center"/>
              <w:rPr>
                <w:sz w:val="22"/>
                <w:szCs w:val="22"/>
              </w:rPr>
            </w:pPr>
            <w:r>
              <w:rPr>
                <w:sz w:val="22"/>
                <w:szCs w:val="22"/>
              </w:rPr>
              <w:t>270,20</w:t>
            </w:r>
          </w:p>
        </w:tc>
        <w:tc>
          <w:tcPr>
            <w:tcW w:w="1276" w:type="dxa"/>
            <w:tcBorders>
              <w:top w:val="single" w:color="auto" w:sz="6" w:space="0"/>
              <w:left w:val="single" w:color="auto" w:sz="4" w:space="0"/>
              <w:bottom w:val="single" w:color="auto" w:sz="6" w:space="0"/>
              <w:right w:val="single" w:color="auto" w:sz="6" w:space="0"/>
            </w:tcBorders>
            <w:vAlign w:val="center"/>
          </w:tcPr>
          <w:p w14:paraId="2C992FF2">
            <w:pPr>
              <w:autoSpaceDE w:val="0"/>
              <w:autoSpaceDN w:val="0"/>
              <w:adjustRightInd w:val="0"/>
              <w:jc w:val="center"/>
              <w:rPr>
                <w:color w:val="000000"/>
                <w:sz w:val="22"/>
                <w:szCs w:val="22"/>
              </w:rPr>
            </w:pPr>
            <w:r>
              <w:rPr>
                <w:color w:val="000000"/>
                <w:sz w:val="22"/>
                <w:szCs w:val="22"/>
              </w:rPr>
              <w:t>379,00</w:t>
            </w:r>
          </w:p>
        </w:tc>
      </w:tr>
      <w:tr w14:paraId="42FD8996">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24716D2A">
            <w:pPr>
              <w:autoSpaceDE w:val="0"/>
              <w:autoSpaceDN w:val="0"/>
              <w:adjustRightInd w:val="0"/>
              <w:jc w:val="center"/>
              <w:rPr>
                <w:color w:val="000000"/>
                <w:sz w:val="22"/>
                <w:szCs w:val="22"/>
              </w:rPr>
            </w:pPr>
            <w:r>
              <w:rPr>
                <w:color w:val="000000"/>
                <w:sz w:val="22"/>
                <w:szCs w:val="22"/>
              </w:rPr>
              <w:t>03</w:t>
            </w:r>
          </w:p>
        </w:tc>
        <w:tc>
          <w:tcPr>
            <w:tcW w:w="5737" w:type="dxa"/>
            <w:tcBorders>
              <w:top w:val="single" w:color="auto" w:sz="6" w:space="0"/>
              <w:left w:val="single" w:color="auto" w:sz="6" w:space="0"/>
              <w:bottom w:val="single" w:color="auto" w:sz="6" w:space="0"/>
              <w:right w:val="single" w:color="auto" w:sz="6" w:space="0"/>
            </w:tcBorders>
          </w:tcPr>
          <w:p w14:paraId="6860ED3E">
            <w:pPr>
              <w:autoSpaceDE w:val="0"/>
              <w:autoSpaceDN w:val="0"/>
              <w:adjustRightInd w:val="0"/>
              <w:rPr>
                <w:color w:val="000000"/>
                <w:sz w:val="22"/>
                <w:szCs w:val="22"/>
              </w:rPr>
            </w:pPr>
            <w:r>
              <w:rPr>
                <w:color w:val="000000"/>
                <w:sz w:val="22"/>
                <w:szCs w:val="22"/>
              </w:rPr>
              <w:t>Национальная безопасность и правоохранительная деятельность</w:t>
            </w:r>
          </w:p>
        </w:tc>
        <w:tc>
          <w:tcPr>
            <w:tcW w:w="1701" w:type="dxa"/>
            <w:tcBorders>
              <w:top w:val="single" w:color="auto" w:sz="6" w:space="0"/>
              <w:left w:val="single" w:color="auto" w:sz="6" w:space="0"/>
              <w:bottom w:val="single" w:color="auto" w:sz="6" w:space="0"/>
              <w:right w:val="single" w:color="auto" w:sz="4" w:space="0"/>
            </w:tcBorders>
            <w:vAlign w:val="center"/>
          </w:tcPr>
          <w:p w14:paraId="7BF6FCA7">
            <w:pPr>
              <w:autoSpaceDE w:val="0"/>
              <w:autoSpaceDN w:val="0"/>
              <w:adjustRightInd w:val="0"/>
              <w:jc w:val="center"/>
              <w:rPr>
                <w:sz w:val="22"/>
                <w:szCs w:val="22"/>
              </w:rPr>
            </w:pPr>
            <w:r>
              <w:rPr>
                <w:sz w:val="22"/>
                <w:szCs w:val="22"/>
              </w:rPr>
              <w:t>40,00</w:t>
            </w:r>
          </w:p>
        </w:tc>
        <w:tc>
          <w:tcPr>
            <w:tcW w:w="1276" w:type="dxa"/>
            <w:tcBorders>
              <w:top w:val="single" w:color="auto" w:sz="6" w:space="0"/>
              <w:left w:val="single" w:color="auto" w:sz="4" w:space="0"/>
              <w:bottom w:val="single" w:color="auto" w:sz="6" w:space="0"/>
              <w:right w:val="single" w:color="auto" w:sz="6" w:space="0"/>
            </w:tcBorders>
            <w:vAlign w:val="center"/>
          </w:tcPr>
          <w:p w14:paraId="6153EFA2">
            <w:pPr>
              <w:autoSpaceDE w:val="0"/>
              <w:autoSpaceDN w:val="0"/>
              <w:adjustRightInd w:val="0"/>
              <w:jc w:val="center"/>
              <w:rPr>
                <w:color w:val="000000"/>
                <w:sz w:val="22"/>
                <w:szCs w:val="22"/>
              </w:rPr>
            </w:pPr>
            <w:r>
              <w:rPr>
                <w:color w:val="000000"/>
                <w:sz w:val="22"/>
                <w:szCs w:val="22"/>
              </w:rPr>
              <w:t>0,0</w:t>
            </w:r>
          </w:p>
        </w:tc>
      </w:tr>
      <w:tr w14:paraId="055E9C6E">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02D5C02E">
            <w:pPr>
              <w:autoSpaceDE w:val="0"/>
              <w:autoSpaceDN w:val="0"/>
              <w:adjustRightInd w:val="0"/>
              <w:jc w:val="center"/>
              <w:rPr>
                <w:color w:val="000000"/>
                <w:sz w:val="22"/>
                <w:szCs w:val="22"/>
              </w:rPr>
            </w:pPr>
            <w:r>
              <w:rPr>
                <w:color w:val="000000"/>
                <w:sz w:val="22"/>
                <w:szCs w:val="22"/>
              </w:rPr>
              <w:t>04</w:t>
            </w:r>
          </w:p>
        </w:tc>
        <w:tc>
          <w:tcPr>
            <w:tcW w:w="5737" w:type="dxa"/>
            <w:tcBorders>
              <w:top w:val="single" w:color="auto" w:sz="6" w:space="0"/>
              <w:left w:val="single" w:color="auto" w:sz="6" w:space="0"/>
              <w:bottom w:val="single" w:color="auto" w:sz="6" w:space="0"/>
              <w:right w:val="single" w:color="auto" w:sz="6" w:space="0"/>
            </w:tcBorders>
          </w:tcPr>
          <w:p w14:paraId="48747ADE">
            <w:pPr>
              <w:autoSpaceDE w:val="0"/>
              <w:autoSpaceDN w:val="0"/>
              <w:adjustRightInd w:val="0"/>
              <w:rPr>
                <w:color w:val="000000"/>
                <w:sz w:val="22"/>
                <w:szCs w:val="22"/>
              </w:rPr>
            </w:pPr>
            <w:r>
              <w:rPr>
                <w:color w:val="000000"/>
                <w:sz w:val="22"/>
                <w:szCs w:val="22"/>
              </w:rPr>
              <w:t>Национальная экономика</w:t>
            </w:r>
          </w:p>
        </w:tc>
        <w:tc>
          <w:tcPr>
            <w:tcW w:w="1701" w:type="dxa"/>
            <w:tcBorders>
              <w:top w:val="single" w:color="auto" w:sz="6" w:space="0"/>
              <w:left w:val="single" w:color="auto" w:sz="6" w:space="0"/>
              <w:bottom w:val="single" w:color="auto" w:sz="6" w:space="0"/>
              <w:right w:val="single" w:color="auto" w:sz="4" w:space="0"/>
            </w:tcBorders>
            <w:vAlign w:val="center"/>
          </w:tcPr>
          <w:p w14:paraId="6A98EC74">
            <w:pPr>
              <w:autoSpaceDE w:val="0"/>
              <w:autoSpaceDN w:val="0"/>
              <w:adjustRightInd w:val="0"/>
              <w:jc w:val="center"/>
              <w:rPr>
                <w:sz w:val="22"/>
                <w:szCs w:val="22"/>
              </w:rPr>
            </w:pPr>
            <w:r>
              <w:rPr>
                <w:sz w:val="22"/>
                <w:szCs w:val="22"/>
              </w:rPr>
              <w:t>1924,80</w:t>
            </w:r>
          </w:p>
        </w:tc>
        <w:tc>
          <w:tcPr>
            <w:tcW w:w="1276" w:type="dxa"/>
            <w:tcBorders>
              <w:top w:val="single" w:color="auto" w:sz="6" w:space="0"/>
              <w:left w:val="single" w:color="auto" w:sz="4" w:space="0"/>
              <w:bottom w:val="single" w:color="auto" w:sz="6" w:space="0"/>
              <w:right w:val="single" w:color="auto" w:sz="6" w:space="0"/>
            </w:tcBorders>
            <w:vAlign w:val="center"/>
          </w:tcPr>
          <w:p w14:paraId="01249428">
            <w:pPr>
              <w:autoSpaceDE w:val="0"/>
              <w:autoSpaceDN w:val="0"/>
              <w:adjustRightInd w:val="0"/>
              <w:jc w:val="center"/>
              <w:rPr>
                <w:color w:val="000000"/>
                <w:sz w:val="22"/>
                <w:szCs w:val="22"/>
              </w:rPr>
            </w:pPr>
            <w:r>
              <w:rPr>
                <w:color w:val="000000"/>
                <w:sz w:val="22"/>
                <w:szCs w:val="22"/>
              </w:rPr>
              <w:t>2441,80</w:t>
            </w:r>
          </w:p>
        </w:tc>
      </w:tr>
      <w:tr w14:paraId="2BFCB9EE">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2B1D4FD1">
            <w:pPr>
              <w:autoSpaceDE w:val="0"/>
              <w:autoSpaceDN w:val="0"/>
              <w:adjustRightInd w:val="0"/>
              <w:jc w:val="center"/>
              <w:rPr>
                <w:color w:val="000000"/>
                <w:sz w:val="22"/>
                <w:szCs w:val="22"/>
              </w:rPr>
            </w:pPr>
            <w:r>
              <w:rPr>
                <w:color w:val="000000"/>
                <w:sz w:val="22"/>
                <w:szCs w:val="22"/>
              </w:rPr>
              <w:t>05</w:t>
            </w:r>
          </w:p>
        </w:tc>
        <w:tc>
          <w:tcPr>
            <w:tcW w:w="5737" w:type="dxa"/>
            <w:tcBorders>
              <w:top w:val="single" w:color="auto" w:sz="6" w:space="0"/>
              <w:left w:val="single" w:color="auto" w:sz="6" w:space="0"/>
              <w:bottom w:val="single" w:color="auto" w:sz="6" w:space="0"/>
              <w:right w:val="single" w:color="auto" w:sz="6" w:space="0"/>
            </w:tcBorders>
          </w:tcPr>
          <w:p w14:paraId="690B63B8">
            <w:pPr>
              <w:autoSpaceDE w:val="0"/>
              <w:autoSpaceDN w:val="0"/>
              <w:adjustRightInd w:val="0"/>
              <w:rPr>
                <w:color w:val="000000"/>
                <w:sz w:val="22"/>
                <w:szCs w:val="22"/>
              </w:rPr>
            </w:pPr>
            <w:r>
              <w:rPr>
                <w:color w:val="000000"/>
                <w:sz w:val="22"/>
                <w:szCs w:val="22"/>
              </w:rPr>
              <w:t>Жилищно-коммунальное хозяйство</w:t>
            </w:r>
          </w:p>
        </w:tc>
        <w:tc>
          <w:tcPr>
            <w:tcW w:w="1701" w:type="dxa"/>
            <w:tcBorders>
              <w:top w:val="single" w:color="auto" w:sz="6" w:space="0"/>
              <w:left w:val="single" w:color="auto" w:sz="6" w:space="0"/>
              <w:bottom w:val="single" w:color="auto" w:sz="6" w:space="0"/>
              <w:right w:val="single" w:color="auto" w:sz="4" w:space="0"/>
            </w:tcBorders>
            <w:vAlign w:val="center"/>
          </w:tcPr>
          <w:p w14:paraId="200E4217">
            <w:pPr>
              <w:autoSpaceDE w:val="0"/>
              <w:autoSpaceDN w:val="0"/>
              <w:adjustRightInd w:val="0"/>
              <w:jc w:val="center"/>
              <w:rPr>
                <w:sz w:val="22"/>
                <w:szCs w:val="22"/>
              </w:rPr>
            </w:pPr>
            <w:r>
              <w:rPr>
                <w:sz w:val="22"/>
                <w:szCs w:val="22"/>
              </w:rPr>
              <w:t>215,50</w:t>
            </w:r>
          </w:p>
        </w:tc>
        <w:tc>
          <w:tcPr>
            <w:tcW w:w="1276" w:type="dxa"/>
            <w:tcBorders>
              <w:top w:val="single" w:color="auto" w:sz="6" w:space="0"/>
              <w:left w:val="single" w:color="auto" w:sz="4" w:space="0"/>
              <w:bottom w:val="single" w:color="auto" w:sz="6" w:space="0"/>
              <w:right w:val="single" w:color="auto" w:sz="6" w:space="0"/>
            </w:tcBorders>
            <w:vAlign w:val="center"/>
          </w:tcPr>
          <w:p w14:paraId="4F71C095">
            <w:pPr>
              <w:autoSpaceDE w:val="0"/>
              <w:autoSpaceDN w:val="0"/>
              <w:adjustRightInd w:val="0"/>
              <w:jc w:val="center"/>
              <w:rPr>
                <w:color w:val="000000"/>
                <w:sz w:val="22"/>
                <w:szCs w:val="22"/>
              </w:rPr>
            </w:pPr>
            <w:r>
              <w:rPr>
                <w:color w:val="000000"/>
                <w:sz w:val="22"/>
                <w:szCs w:val="22"/>
              </w:rPr>
              <w:t>914,30</w:t>
            </w:r>
          </w:p>
        </w:tc>
      </w:tr>
      <w:tr w14:paraId="235BEC11">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53837B6A">
            <w:pPr>
              <w:autoSpaceDE w:val="0"/>
              <w:autoSpaceDN w:val="0"/>
              <w:adjustRightInd w:val="0"/>
              <w:jc w:val="center"/>
              <w:rPr>
                <w:color w:val="000000"/>
                <w:sz w:val="22"/>
                <w:szCs w:val="22"/>
              </w:rPr>
            </w:pPr>
            <w:r>
              <w:rPr>
                <w:color w:val="000000"/>
                <w:sz w:val="22"/>
                <w:szCs w:val="22"/>
              </w:rPr>
              <w:t>08</w:t>
            </w:r>
          </w:p>
        </w:tc>
        <w:tc>
          <w:tcPr>
            <w:tcW w:w="5737" w:type="dxa"/>
            <w:tcBorders>
              <w:top w:val="single" w:color="auto" w:sz="6" w:space="0"/>
              <w:left w:val="single" w:color="auto" w:sz="6" w:space="0"/>
              <w:bottom w:val="single" w:color="auto" w:sz="6" w:space="0"/>
              <w:right w:val="single" w:color="auto" w:sz="6" w:space="0"/>
            </w:tcBorders>
          </w:tcPr>
          <w:p w14:paraId="3EA45197">
            <w:pPr>
              <w:autoSpaceDE w:val="0"/>
              <w:autoSpaceDN w:val="0"/>
              <w:adjustRightInd w:val="0"/>
              <w:rPr>
                <w:color w:val="000000"/>
                <w:sz w:val="22"/>
                <w:szCs w:val="22"/>
              </w:rPr>
            </w:pPr>
            <w:r>
              <w:rPr>
                <w:color w:val="000000"/>
                <w:sz w:val="22"/>
                <w:szCs w:val="22"/>
              </w:rPr>
              <w:t>Культура, кинематография</w:t>
            </w:r>
          </w:p>
        </w:tc>
        <w:tc>
          <w:tcPr>
            <w:tcW w:w="1701" w:type="dxa"/>
            <w:tcBorders>
              <w:top w:val="single" w:color="auto" w:sz="6" w:space="0"/>
              <w:left w:val="single" w:color="auto" w:sz="6" w:space="0"/>
              <w:bottom w:val="single" w:color="auto" w:sz="6" w:space="0"/>
              <w:right w:val="single" w:color="auto" w:sz="4" w:space="0"/>
            </w:tcBorders>
            <w:vAlign w:val="center"/>
          </w:tcPr>
          <w:p w14:paraId="6E752A78">
            <w:pPr>
              <w:autoSpaceDE w:val="0"/>
              <w:autoSpaceDN w:val="0"/>
              <w:adjustRightInd w:val="0"/>
              <w:jc w:val="center"/>
              <w:rPr>
                <w:sz w:val="22"/>
                <w:szCs w:val="22"/>
              </w:rPr>
            </w:pPr>
            <w:r>
              <w:rPr>
                <w:sz w:val="22"/>
                <w:szCs w:val="22"/>
              </w:rPr>
              <w:t>1848,70</w:t>
            </w:r>
          </w:p>
        </w:tc>
        <w:tc>
          <w:tcPr>
            <w:tcW w:w="1276" w:type="dxa"/>
            <w:tcBorders>
              <w:top w:val="single" w:color="auto" w:sz="6" w:space="0"/>
              <w:left w:val="single" w:color="auto" w:sz="4" w:space="0"/>
              <w:bottom w:val="single" w:color="auto" w:sz="6" w:space="0"/>
              <w:right w:val="single" w:color="auto" w:sz="6" w:space="0"/>
            </w:tcBorders>
            <w:vAlign w:val="center"/>
          </w:tcPr>
          <w:p w14:paraId="7F214976">
            <w:pPr>
              <w:autoSpaceDE w:val="0"/>
              <w:autoSpaceDN w:val="0"/>
              <w:adjustRightInd w:val="0"/>
              <w:jc w:val="center"/>
              <w:rPr>
                <w:color w:val="000000"/>
                <w:sz w:val="22"/>
                <w:szCs w:val="22"/>
              </w:rPr>
            </w:pPr>
            <w:r>
              <w:rPr>
                <w:color w:val="000000"/>
                <w:sz w:val="22"/>
                <w:szCs w:val="22"/>
              </w:rPr>
              <w:t>1294,80</w:t>
            </w:r>
          </w:p>
        </w:tc>
      </w:tr>
      <w:tr w14:paraId="09AC1727">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79F625ED">
            <w:pPr>
              <w:autoSpaceDE w:val="0"/>
              <w:autoSpaceDN w:val="0"/>
              <w:adjustRightInd w:val="0"/>
              <w:jc w:val="center"/>
              <w:rPr>
                <w:color w:val="000000"/>
                <w:sz w:val="22"/>
                <w:szCs w:val="22"/>
              </w:rPr>
            </w:pPr>
            <w:r>
              <w:rPr>
                <w:color w:val="000000"/>
                <w:sz w:val="22"/>
                <w:szCs w:val="22"/>
              </w:rPr>
              <w:t>10</w:t>
            </w:r>
          </w:p>
        </w:tc>
        <w:tc>
          <w:tcPr>
            <w:tcW w:w="5737" w:type="dxa"/>
            <w:tcBorders>
              <w:top w:val="single" w:color="auto" w:sz="6" w:space="0"/>
              <w:left w:val="single" w:color="auto" w:sz="6" w:space="0"/>
              <w:bottom w:val="single" w:color="auto" w:sz="6" w:space="0"/>
              <w:right w:val="single" w:color="auto" w:sz="6" w:space="0"/>
            </w:tcBorders>
          </w:tcPr>
          <w:p w14:paraId="6A7E5DF0">
            <w:pPr>
              <w:autoSpaceDE w:val="0"/>
              <w:autoSpaceDN w:val="0"/>
              <w:adjustRightInd w:val="0"/>
              <w:rPr>
                <w:color w:val="000000"/>
                <w:sz w:val="22"/>
                <w:szCs w:val="22"/>
              </w:rPr>
            </w:pPr>
            <w:r>
              <w:rPr>
                <w:color w:val="000000"/>
                <w:sz w:val="22"/>
                <w:szCs w:val="22"/>
              </w:rPr>
              <w:t>Социальная политика</w:t>
            </w:r>
          </w:p>
        </w:tc>
        <w:tc>
          <w:tcPr>
            <w:tcW w:w="1701" w:type="dxa"/>
            <w:tcBorders>
              <w:top w:val="single" w:color="auto" w:sz="6" w:space="0"/>
              <w:left w:val="single" w:color="auto" w:sz="6" w:space="0"/>
              <w:bottom w:val="single" w:color="auto" w:sz="6" w:space="0"/>
              <w:right w:val="single" w:color="auto" w:sz="4" w:space="0"/>
            </w:tcBorders>
            <w:vAlign w:val="center"/>
          </w:tcPr>
          <w:p w14:paraId="257E3183">
            <w:pPr>
              <w:autoSpaceDE w:val="0"/>
              <w:autoSpaceDN w:val="0"/>
              <w:adjustRightInd w:val="0"/>
              <w:jc w:val="center"/>
              <w:rPr>
                <w:sz w:val="22"/>
                <w:szCs w:val="22"/>
              </w:rPr>
            </w:pPr>
            <w:r>
              <w:rPr>
                <w:sz w:val="22"/>
                <w:szCs w:val="22"/>
              </w:rPr>
              <w:t>0</w:t>
            </w:r>
          </w:p>
        </w:tc>
        <w:tc>
          <w:tcPr>
            <w:tcW w:w="1276" w:type="dxa"/>
            <w:tcBorders>
              <w:top w:val="single" w:color="auto" w:sz="6" w:space="0"/>
              <w:left w:val="single" w:color="auto" w:sz="4" w:space="0"/>
              <w:bottom w:val="single" w:color="auto" w:sz="6" w:space="0"/>
              <w:right w:val="single" w:color="auto" w:sz="6" w:space="0"/>
            </w:tcBorders>
            <w:vAlign w:val="center"/>
          </w:tcPr>
          <w:p w14:paraId="006C5DF6">
            <w:pPr>
              <w:autoSpaceDE w:val="0"/>
              <w:autoSpaceDN w:val="0"/>
              <w:adjustRightInd w:val="0"/>
              <w:jc w:val="center"/>
              <w:rPr>
                <w:color w:val="000000"/>
                <w:sz w:val="22"/>
                <w:szCs w:val="22"/>
              </w:rPr>
            </w:pPr>
            <w:r>
              <w:rPr>
                <w:color w:val="000000"/>
                <w:sz w:val="22"/>
                <w:szCs w:val="22"/>
              </w:rPr>
              <w:t>0,00</w:t>
            </w:r>
          </w:p>
        </w:tc>
      </w:tr>
      <w:tr w14:paraId="6E2D085A">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20191DC8">
            <w:pPr>
              <w:autoSpaceDE w:val="0"/>
              <w:autoSpaceDN w:val="0"/>
              <w:adjustRightInd w:val="0"/>
              <w:jc w:val="center"/>
              <w:rPr>
                <w:color w:val="000000"/>
                <w:sz w:val="22"/>
                <w:szCs w:val="22"/>
              </w:rPr>
            </w:pPr>
            <w:r>
              <w:rPr>
                <w:color w:val="000000"/>
                <w:sz w:val="22"/>
                <w:szCs w:val="22"/>
              </w:rPr>
              <w:t>11</w:t>
            </w:r>
          </w:p>
        </w:tc>
        <w:tc>
          <w:tcPr>
            <w:tcW w:w="5737" w:type="dxa"/>
            <w:tcBorders>
              <w:top w:val="single" w:color="auto" w:sz="6" w:space="0"/>
              <w:left w:val="single" w:color="auto" w:sz="6" w:space="0"/>
              <w:bottom w:val="single" w:color="auto" w:sz="6" w:space="0"/>
              <w:right w:val="single" w:color="auto" w:sz="6" w:space="0"/>
            </w:tcBorders>
          </w:tcPr>
          <w:p w14:paraId="74985B34">
            <w:pPr>
              <w:autoSpaceDE w:val="0"/>
              <w:autoSpaceDN w:val="0"/>
              <w:adjustRightInd w:val="0"/>
              <w:rPr>
                <w:color w:val="000000"/>
                <w:sz w:val="22"/>
                <w:szCs w:val="22"/>
              </w:rPr>
            </w:pPr>
            <w:r>
              <w:rPr>
                <w:color w:val="000000"/>
                <w:sz w:val="22"/>
                <w:szCs w:val="22"/>
              </w:rPr>
              <w:t>Физическая культура и спорт</w:t>
            </w:r>
          </w:p>
        </w:tc>
        <w:tc>
          <w:tcPr>
            <w:tcW w:w="1701" w:type="dxa"/>
            <w:tcBorders>
              <w:top w:val="single" w:color="auto" w:sz="6" w:space="0"/>
              <w:left w:val="single" w:color="auto" w:sz="6" w:space="0"/>
              <w:bottom w:val="single" w:color="auto" w:sz="6" w:space="0"/>
              <w:right w:val="single" w:color="auto" w:sz="4" w:space="0"/>
            </w:tcBorders>
            <w:vAlign w:val="center"/>
          </w:tcPr>
          <w:p w14:paraId="046971F9">
            <w:pPr>
              <w:autoSpaceDE w:val="0"/>
              <w:autoSpaceDN w:val="0"/>
              <w:adjustRightInd w:val="0"/>
              <w:jc w:val="center"/>
              <w:rPr>
                <w:sz w:val="22"/>
                <w:szCs w:val="22"/>
              </w:rPr>
            </w:pPr>
            <w:r>
              <w:rPr>
                <w:sz w:val="22"/>
                <w:szCs w:val="22"/>
              </w:rPr>
              <w:t>0</w:t>
            </w:r>
          </w:p>
        </w:tc>
        <w:tc>
          <w:tcPr>
            <w:tcW w:w="1276" w:type="dxa"/>
            <w:tcBorders>
              <w:top w:val="single" w:color="auto" w:sz="6" w:space="0"/>
              <w:left w:val="single" w:color="auto" w:sz="4" w:space="0"/>
              <w:bottom w:val="single" w:color="auto" w:sz="6" w:space="0"/>
              <w:right w:val="single" w:color="auto" w:sz="6" w:space="0"/>
            </w:tcBorders>
            <w:vAlign w:val="center"/>
          </w:tcPr>
          <w:p w14:paraId="0DDD9DB5">
            <w:pPr>
              <w:autoSpaceDE w:val="0"/>
              <w:autoSpaceDN w:val="0"/>
              <w:adjustRightInd w:val="0"/>
              <w:jc w:val="center"/>
              <w:rPr>
                <w:color w:val="000000"/>
                <w:sz w:val="22"/>
                <w:szCs w:val="22"/>
              </w:rPr>
            </w:pPr>
            <w:r>
              <w:rPr>
                <w:color w:val="000000"/>
                <w:sz w:val="22"/>
                <w:szCs w:val="22"/>
              </w:rPr>
              <w:t>0,00</w:t>
            </w:r>
          </w:p>
        </w:tc>
      </w:tr>
      <w:tr w14:paraId="243F587B">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55A535B3">
            <w:pPr>
              <w:autoSpaceDE w:val="0"/>
              <w:autoSpaceDN w:val="0"/>
              <w:adjustRightInd w:val="0"/>
              <w:jc w:val="center"/>
              <w:rPr>
                <w:color w:val="000000"/>
                <w:sz w:val="22"/>
                <w:szCs w:val="22"/>
              </w:rPr>
            </w:pPr>
            <w:r>
              <w:rPr>
                <w:color w:val="000000"/>
                <w:sz w:val="22"/>
                <w:szCs w:val="22"/>
              </w:rPr>
              <w:t>13</w:t>
            </w:r>
          </w:p>
        </w:tc>
        <w:tc>
          <w:tcPr>
            <w:tcW w:w="5737" w:type="dxa"/>
            <w:tcBorders>
              <w:top w:val="single" w:color="auto" w:sz="6" w:space="0"/>
              <w:left w:val="single" w:color="auto" w:sz="6" w:space="0"/>
              <w:bottom w:val="single" w:color="auto" w:sz="6" w:space="0"/>
              <w:right w:val="single" w:color="auto" w:sz="6" w:space="0"/>
            </w:tcBorders>
          </w:tcPr>
          <w:p w14:paraId="5B8AA5B4">
            <w:pPr>
              <w:autoSpaceDE w:val="0"/>
              <w:autoSpaceDN w:val="0"/>
              <w:adjustRightInd w:val="0"/>
              <w:rPr>
                <w:color w:val="000000"/>
                <w:sz w:val="22"/>
                <w:szCs w:val="22"/>
              </w:rPr>
            </w:pPr>
            <w:r>
              <w:rPr>
                <w:color w:val="000000"/>
                <w:sz w:val="22"/>
                <w:szCs w:val="22"/>
              </w:rPr>
              <w:t>Обслуживание государственного и муниципального долга</w:t>
            </w:r>
          </w:p>
        </w:tc>
        <w:tc>
          <w:tcPr>
            <w:tcW w:w="1701" w:type="dxa"/>
            <w:tcBorders>
              <w:top w:val="single" w:color="auto" w:sz="6" w:space="0"/>
              <w:left w:val="single" w:color="auto" w:sz="6" w:space="0"/>
              <w:bottom w:val="single" w:color="auto" w:sz="6" w:space="0"/>
              <w:right w:val="single" w:color="auto" w:sz="4" w:space="0"/>
            </w:tcBorders>
            <w:vAlign w:val="center"/>
          </w:tcPr>
          <w:p w14:paraId="6BFA1FA8">
            <w:pPr>
              <w:autoSpaceDE w:val="0"/>
              <w:autoSpaceDN w:val="0"/>
              <w:adjustRightInd w:val="0"/>
              <w:jc w:val="center"/>
              <w:rPr>
                <w:sz w:val="22"/>
                <w:szCs w:val="22"/>
              </w:rPr>
            </w:pPr>
            <w:r>
              <w:rPr>
                <w:sz w:val="22"/>
                <w:szCs w:val="22"/>
              </w:rPr>
              <w:t>0,0</w:t>
            </w:r>
          </w:p>
        </w:tc>
        <w:tc>
          <w:tcPr>
            <w:tcW w:w="1276" w:type="dxa"/>
            <w:tcBorders>
              <w:top w:val="single" w:color="auto" w:sz="6" w:space="0"/>
              <w:left w:val="single" w:color="auto" w:sz="4" w:space="0"/>
              <w:bottom w:val="single" w:color="auto" w:sz="6" w:space="0"/>
              <w:right w:val="single" w:color="auto" w:sz="6" w:space="0"/>
            </w:tcBorders>
            <w:vAlign w:val="center"/>
          </w:tcPr>
          <w:p w14:paraId="116F032F">
            <w:pPr>
              <w:autoSpaceDE w:val="0"/>
              <w:autoSpaceDN w:val="0"/>
              <w:adjustRightInd w:val="0"/>
              <w:jc w:val="center"/>
              <w:rPr>
                <w:color w:val="000000"/>
                <w:sz w:val="22"/>
                <w:szCs w:val="22"/>
              </w:rPr>
            </w:pPr>
            <w:r>
              <w:rPr>
                <w:color w:val="000000"/>
                <w:sz w:val="22"/>
                <w:szCs w:val="22"/>
              </w:rPr>
              <w:t>0,0</w:t>
            </w:r>
          </w:p>
        </w:tc>
      </w:tr>
      <w:tr w14:paraId="67B1F3E4">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4BC0BC86">
            <w:pPr>
              <w:autoSpaceDE w:val="0"/>
              <w:autoSpaceDN w:val="0"/>
              <w:adjustRightInd w:val="0"/>
              <w:jc w:val="center"/>
              <w:rPr>
                <w:color w:val="000000"/>
                <w:sz w:val="22"/>
                <w:szCs w:val="22"/>
              </w:rPr>
            </w:pPr>
            <w:r>
              <w:rPr>
                <w:color w:val="000000"/>
                <w:sz w:val="22"/>
                <w:szCs w:val="22"/>
              </w:rPr>
              <w:t>14</w:t>
            </w:r>
          </w:p>
        </w:tc>
        <w:tc>
          <w:tcPr>
            <w:tcW w:w="5737" w:type="dxa"/>
            <w:tcBorders>
              <w:top w:val="single" w:color="auto" w:sz="6" w:space="0"/>
              <w:left w:val="single" w:color="auto" w:sz="6" w:space="0"/>
              <w:bottom w:val="single" w:color="auto" w:sz="6" w:space="0"/>
              <w:right w:val="single" w:color="auto" w:sz="6" w:space="0"/>
            </w:tcBorders>
          </w:tcPr>
          <w:p w14:paraId="1F7E6F96">
            <w:pPr>
              <w:autoSpaceDE w:val="0"/>
              <w:autoSpaceDN w:val="0"/>
              <w:adjustRightInd w:val="0"/>
              <w:rPr>
                <w:color w:val="000000"/>
                <w:sz w:val="22"/>
                <w:szCs w:val="22"/>
              </w:rPr>
            </w:pPr>
            <w:r>
              <w:rPr>
                <w:color w:val="000000"/>
                <w:sz w:val="22"/>
                <w:szCs w:val="22"/>
              </w:rPr>
              <w:t>Межбюджетные трансферты</w:t>
            </w:r>
          </w:p>
        </w:tc>
        <w:tc>
          <w:tcPr>
            <w:tcW w:w="1701" w:type="dxa"/>
            <w:tcBorders>
              <w:top w:val="single" w:color="auto" w:sz="6" w:space="0"/>
              <w:left w:val="single" w:color="auto" w:sz="6" w:space="0"/>
              <w:bottom w:val="single" w:color="auto" w:sz="6" w:space="0"/>
              <w:right w:val="single" w:color="auto" w:sz="4" w:space="0"/>
            </w:tcBorders>
            <w:vAlign w:val="center"/>
          </w:tcPr>
          <w:p w14:paraId="63CA70E5">
            <w:pPr>
              <w:autoSpaceDE w:val="0"/>
              <w:autoSpaceDN w:val="0"/>
              <w:adjustRightInd w:val="0"/>
              <w:jc w:val="center"/>
              <w:rPr>
                <w:sz w:val="22"/>
                <w:szCs w:val="22"/>
              </w:rPr>
            </w:pPr>
            <w:r>
              <w:rPr>
                <w:sz w:val="22"/>
                <w:szCs w:val="22"/>
              </w:rPr>
              <w:t>122,20</w:t>
            </w:r>
          </w:p>
        </w:tc>
        <w:tc>
          <w:tcPr>
            <w:tcW w:w="1276" w:type="dxa"/>
            <w:tcBorders>
              <w:top w:val="single" w:color="auto" w:sz="6" w:space="0"/>
              <w:left w:val="single" w:color="auto" w:sz="4" w:space="0"/>
              <w:bottom w:val="single" w:color="auto" w:sz="6" w:space="0"/>
              <w:right w:val="single" w:color="auto" w:sz="6" w:space="0"/>
            </w:tcBorders>
            <w:vAlign w:val="center"/>
          </w:tcPr>
          <w:p w14:paraId="1819B9BB">
            <w:pPr>
              <w:autoSpaceDE w:val="0"/>
              <w:autoSpaceDN w:val="0"/>
              <w:adjustRightInd w:val="0"/>
              <w:jc w:val="center"/>
              <w:rPr>
                <w:color w:val="000000"/>
                <w:sz w:val="22"/>
                <w:szCs w:val="22"/>
              </w:rPr>
            </w:pPr>
            <w:r>
              <w:rPr>
                <w:color w:val="000000"/>
                <w:sz w:val="22"/>
                <w:szCs w:val="22"/>
              </w:rPr>
              <w:t>132,00</w:t>
            </w:r>
          </w:p>
        </w:tc>
      </w:tr>
      <w:tr w14:paraId="35E77641">
        <w:tblPrEx>
          <w:tblCellMar>
            <w:top w:w="0" w:type="dxa"/>
            <w:left w:w="30" w:type="dxa"/>
            <w:bottom w:w="0" w:type="dxa"/>
            <w:right w:w="30" w:type="dxa"/>
          </w:tblCellMar>
        </w:tblPrEx>
        <w:trPr>
          <w:trHeight w:val="302" w:hRule="atLeast"/>
        </w:trPr>
        <w:tc>
          <w:tcPr>
            <w:tcW w:w="814" w:type="dxa"/>
            <w:tcBorders>
              <w:top w:val="single" w:color="auto" w:sz="6" w:space="0"/>
              <w:left w:val="single" w:color="auto" w:sz="6" w:space="0"/>
              <w:bottom w:val="single" w:color="auto" w:sz="6" w:space="0"/>
              <w:right w:val="single" w:color="auto" w:sz="6" w:space="0"/>
            </w:tcBorders>
          </w:tcPr>
          <w:p w14:paraId="09AF195E">
            <w:pPr>
              <w:autoSpaceDE w:val="0"/>
              <w:autoSpaceDN w:val="0"/>
              <w:adjustRightInd w:val="0"/>
              <w:jc w:val="right"/>
              <w:rPr>
                <w:color w:val="000000"/>
                <w:sz w:val="22"/>
                <w:szCs w:val="22"/>
              </w:rPr>
            </w:pPr>
          </w:p>
        </w:tc>
        <w:tc>
          <w:tcPr>
            <w:tcW w:w="5737" w:type="dxa"/>
            <w:tcBorders>
              <w:top w:val="single" w:color="auto" w:sz="6" w:space="0"/>
              <w:left w:val="single" w:color="auto" w:sz="6" w:space="0"/>
              <w:bottom w:val="single" w:color="auto" w:sz="6" w:space="0"/>
              <w:right w:val="single" w:color="auto" w:sz="6" w:space="0"/>
            </w:tcBorders>
          </w:tcPr>
          <w:p w14:paraId="2FF89859">
            <w:pPr>
              <w:autoSpaceDE w:val="0"/>
              <w:autoSpaceDN w:val="0"/>
              <w:adjustRightInd w:val="0"/>
              <w:rPr>
                <w:color w:val="000000"/>
                <w:sz w:val="22"/>
                <w:szCs w:val="22"/>
              </w:rPr>
            </w:pPr>
            <w:r>
              <w:rPr>
                <w:color w:val="000000"/>
                <w:sz w:val="22"/>
                <w:szCs w:val="22"/>
              </w:rPr>
              <w:t>Всего расходов</w:t>
            </w:r>
          </w:p>
        </w:tc>
        <w:tc>
          <w:tcPr>
            <w:tcW w:w="1701" w:type="dxa"/>
            <w:tcBorders>
              <w:top w:val="single" w:color="auto" w:sz="6" w:space="0"/>
              <w:left w:val="single" w:color="auto" w:sz="6" w:space="0"/>
              <w:bottom w:val="single" w:color="auto" w:sz="6" w:space="0"/>
              <w:right w:val="single" w:color="auto" w:sz="4" w:space="0"/>
            </w:tcBorders>
            <w:vAlign w:val="center"/>
          </w:tcPr>
          <w:p w14:paraId="02186FF1">
            <w:pPr>
              <w:autoSpaceDE w:val="0"/>
              <w:autoSpaceDN w:val="0"/>
              <w:adjustRightInd w:val="0"/>
              <w:jc w:val="center"/>
              <w:rPr>
                <w:b/>
                <w:sz w:val="22"/>
                <w:szCs w:val="22"/>
              </w:rPr>
            </w:pPr>
            <w:r>
              <w:rPr>
                <w:b/>
                <w:sz w:val="22"/>
                <w:szCs w:val="22"/>
              </w:rPr>
              <w:t>7698,70</w:t>
            </w:r>
          </w:p>
        </w:tc>
        <w:tc>
          <w:tcPr>
            <w:tcW w:w="1276" w:type="dxa"/>
            <w:tcBorders>
              <w:top w:val="single" w:color="auto" w:sz="6" w:space="0"/>
              <w:left w:val="single" w:color="auto" w:sz="4" w:space="0"/>
              <w:bottom w:val="single" w:color="auto" w:sz="6" w:space="0"/>
              <w:right w:val="single" w:color="auto" w:sz="6" w:space="0"/>
            </w:tcBorders>
            <w:vAlign w:val="center"/>
          </w:tcPr>
          <w:p w14:paraId="1929204D">
            <w:pPr>
              <w:autoSpaceDE w:val="0"/>
              <w:autoSpaceDN w:val="0"/>
              <w:adjustRightInd w:val="0"/>
              <w:jc w:val="center"/>
              <w:rPr>
                <w:b/>
                <w:color w:val="000000"/>
                <w:sz w:val="22"/>
                <w:szCs w:val="22"/>
              </w:rPr>
            </w:pPr>
            <w:r>
              <w:rPr>
                <w:b/>
                <w:color w:val="000000"/>
                <w:sz w:val="22"/>
                <w:szCs w:val="22"/>
              </w:rPr>
              <w:t>7171,40</w:t>
            </w:r>
          </w:p>
        </w:tc>
      </w:tr>
    </w:tbl>
    <w:p w14:paraId="70C78FC4">
      <w:pPr>
        <w:jc w:val="center"/>
        <w:rPr>
          <w:b/>
          <w:sz w:val="24"/>
          <w:szCs w:val="24"/>
        </w:rPr>
      </w:pPr>
    </w:p>
    <w:p w14:paraId="57A72852">
      <w:pPr>
        <w:jc w:val="center"/>
        <w:rPr>
          <w:b/>
          <w:sz w:val="24"/>
          <w:szCs w:val="24"/>
        </w:rPr>
      </w:pPr>
      <w:r>
        <w:rPr>
          <w:b/>
          <w:sz w:val="24"/>
          <w:szCs w:val="24"/>
        </w:rPr>
        <w:t>Раздел 0100 «Общегосударственные вопросы»</w:t>
      </w:r>
    </w:p>
    <w:p w14:paraId="3E93F50D">
      <w:pPr>
        <w:jc w:val="center"/>
        <w:rPr>
          <w:b/>
          <w:sz w:val="24"/>
          <w:szCs w:val="24"/>
        </w:rPr>
      </w:pPr>
    </w:p>
    <w:p w14:paraId="3C2B5F15">
      <w:pPr>
        <w:ind w:firstLine="709"/>
        <w:jc w:val="both"/>
        <w:rPr>
          <w:sz w:val="24"/>
          <w:szCs w:val="24"/>
        </w:rPr>
      </w:pPr>
      <w:r>
        <w:rPr>
          <w:sz w:val="24"/>
          <w:szCs w:val="24"/>
        </w:rPr>
        <w:t xml:space="preserve">По органам местного самоуправления оплата труда с начислениями рассчитывается в соответствии со штатными расписаниями с учетом нормативов, установленных постановлением Правительства Республики Карелия от 18.06.2012 г. № 190-П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w:t>
      </w:r>
    </w:p>
    <w:p w14:paraId="3691F069">
      <w:pPr>
        <w:ind w:firstLine="709"/>
        <w:jc w:val="both"/>
        <w:rPr>
          <w:sz w:val="24"/>
          <w:szCs w:val="24"/>
        </w:rPr>
      </w:pPr>
      <w:r>
        <w:rPr>
          <w:sz w:val="24"/>
          <w:szCs w:val="24"/>
        </w:rPr>
        <w:t>В числе основных направлений расходов местного бюджета по данному разделу предусмотрены средства на финансовое обеспечение деятельности органов местного самоуправления в сумме 2009,50  тыс. рублей, в том числе:</w:t>
      </w:r>
    </w:p>
    <w:p w14:paraId="01BE3B50">
      <w:pPr>
        <w:jc w:val="both"/>
        <w:rPr>
          <w:sz w:val="24"/>
          <w:szCs w:val="24"/>
        </w:rPr>
      </w:pPr>
      <w:r>
        <w:rPr>
          <w:sz w:val="24"/>
          <w:szCs w:val="24"/>
        </w:rPr>
        <w:t xml:space="preserve"> -на содержание главы поселения (на заработную плату со страховыми взносами) в сумме 1244,60 тыс. рублей.</w:t>
      </w:r>
    </w:p>
    <w:p w14:paraId="2414D210">
      <w:pPr>
        <w:jc w:val="both"/>
        <w:rPr>
          <w:sz w:val="24"/>
          <w:szCs w:val="24"/>
        </w:rPr>
      </w:pPr>
      <w:r>
        <w:rPr>
          <w:sz w:val="24"/>
          <w:szCs w:val="24"/>
        </w:rPr>
        <w:t>- на содержание аппарата администрации поселения (на заработную плату со страховыми взносами) в сумме 761,90 тыс. рублей,</w:t>
      </w:r>
    </w:p>
    <w:p w14:paraId="306AD452">
      <w:pPr>
        <w:jc w:val="both"/>
        <w:rPr>
          <w:sz w:val="24"/>
          <w:szCs w:val="24"/>
        </w:rPr>
      </w:pPr>
      <w:r>
        <w:rPr>
          <w:sz w:val="24"/>
          <w:szCs w:val="24"/>
        </w:rPr>
        <w:t>- на закупку энергетических ресурсов (эл. энергия) – 0,00 тыс.руб.,</w:t>
      </w:r>
    </w:p>
    <w:p w14:paraId="2C524432">
      <w:pPr>
        <w:jc w:val="both"/>
        <w:rPr>
          <w:sz w:val="24"/>
          <w:szCs w:val="24"/>
        </w:rPr>
      </w:pPr>
      <w:r>
        <w:rPr>
          <w:sz w:val="24"/>
          <w:szCs w:val="24"/>
        </w:rPr>
        <w:t>- прочая закупка товаров, работ и услуг – 0,00 тыс. руб.</w:t>
      </w:r>
    </w:p>
    <w:p w14:paraId="36EF4A22">
      <w:pPr>
        <w:jc w:val="both"/>
        <w:rPr>
          <w:sz w:val="24"/>
          <w:szCs w:val="24"/>
        </w:rPr>
      </w:pPr>
      <w:r>
        <w:rPr>
          <w:sz w:val="24"/>
          <w:szCs w:val="24"/>
        </w:rPr>
        <w:t>- Осуществление обеспечения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 – 2,00 тыс. руб.</w:t>
      </w:r>
    </w:p>
    <w:p w14:paraId="5B2CAD08">
      <w:pPr>
        <w:jc w:val="both"/>
        <w:rPr>
          <w:sz w:val="24"/>
          <w:szCs w:val="24"/>
        </w:rPr>
      </w:pPr>
      <w:r>
        <w:rPr>
          <w:sz w:val="24"/>
          <w:szCs w:val="24"/>
        </w:rPr>
        <w:t xml:space="preserve">- резервный фонд   1,00 тыс. руб.  </w:t>
      </w:r>
    </w:p>
    <w:p w14:paraId="17246596">
      <w:pPr>
        <w:jc w:val="both"/>
        <w:rPr>
          <w:color w:val="FF0000"/>
          <w:sz w:val="24"/>
          <w:szCs w:val="24"/>
        </w:rPr>
      </w:pPr>
      <w:r>
        <w:rPr>
          <w:sz w:val="24"/>
          <w:szCs w:val="24"/>
        </w:rPr>
        <w:t>- уплата налогов и иных платежей- 0,0 тыс. руб.</w:t>
      </w:r>
    </w:p>
    <w:p w14:paraId="5081B482">
      <w:pPr>
        <w:jc w:val="center"/>
        <w:rPr>
          <w:b/>
          <w:sz w:val="24"/>
          <w:szCs w:val="24"/>
        </w:rPr>
      </w:pPr>
    </w:p>
    <w:p w14:paraId="3357310D">
      <w:pPr>
        <w:jc w:val="center"/>
        <w:rPr>
          <w:b/>
          <w:sz w:val="24"/>
          <w:szCs w:val="24"/>
        </w:rPr>
      </w:pPr>
      <w:r>
        <w:rPr>
          <w:b/>
          <w:sz w:val="24"/>
          <w:szCs w:val="24"/>
        </w:rPr>
        <w:t>Раздел 0200 «Национальная оборона»</w:t>
      </w:r>
    </w:p>
    <w:p w14:paraId="04F6E1AB">
      <w:pPr>
        <w:jc w:val="center"/>
        <w:rPr>
          <w:b/>
          <w:sz w:val="24"/>
          <w:szCs w:val="24"/>
        </w:rPr>
      </w:pPr>
    </w:p>
    <w:p w14:paraId="25F01E42">
      <w:pPr>
        <w:ind w:firstLine="709"/>
        <w:jc w:val="both"/>
        <w:rPr>
          <w:sz w:val="24"/>
          <w:szCs w:val="24"/>
        </w:rPr>
      </w:pPr>
      <w:r>
        <w:rPr>
          <w:sz w:val="24"/>
          <w:szCs w:val="24"/>
        </w:rPr>
        <w:t xml:space="preserve">В проекте местного бюджета по данному разделу на 2026 год предусмотрены бюджетные ассигнования в сумме 379,00 тыс. рублей, в т. ч. на оплату труда – 291,10 тыс. руб.,  страховые взносы – 87,90 руб.  </w:t>
      </w:r>
    </w:p>
    <w:p w14:paraId="2C183C77">
      <w:pPr>
        <w:ind w:firstLine="709"/>
        <w:jc w:val="both"/>
        <w:rPr>
          <w:sz w:val="24"/>
          <w:szCs w:val="24"/>
        </w:rPr>
      </w:pPr>
      <w:r>
        <w:rPr>
          <w:sz w:val="24"/>
          <w:szCs w:val="24"/>
        </w:rPr>
        <w:t>Расходы по данному разделу будут направлены на осуществление полномочий по первичному воинскому учету органами местного самоуправления поселения, осуществляемые за счет субвенций из федерального бюджета, т. е. на содержание специалиста по первичному воинскому учету на территориях, где отсутствуют военные комиссариаты.</w:t>
      </w:r>
    </w:p>
    <w:p w14:paraId="2503A5D9">
      <w:pPr>
        <w:rPr>
          <w:b/>
          <w:sz w:val="24"/>
          <w:szCs w:val="24"/>
        </w:rPr>
      </w:pPr>
    </w:p>
    <w:p w14:paraId="2110DE6E">
      <w:pPr>
        <w:rPr>
          <w:b/>
          <w:sz w:val="24"/>
          <w:szCs w:val="24"/>
        </w:rPr>
      </w:pPr>
    </w:p>
    <w:p w14:paraId="2D5150D6">
      <w:pPr>
        <w:ind w:left="360"/>
        <w:jc w:val="center"/>
        <w:rPr>
          <w:b/>
          <w:sz w:val="24"/>
          <w:szCs w:val="24"/>
        </w:rPr>
      </w:pPr>
      <w:r>
        <w:rPr>
          <w:b/>
          <w:sz w:val="24"/>
          <w:szCs w:val="24"/>
        </w:rPr>
        <w:t>Раздел 0400 «Национальная экономика»</w:t>
      </w:r>
    </w:p>
    <w:p w14:paraId="040209E6">
      <w:pPr>
        <w:ind w:left="360"/>
        <w:jc w:val="center"/>
        <w:rPr>
          <w:sz w:val="24"/>
          <w:szCs w:val="24"/>
        </w:rPr>
      </w:pPr>
    </w:p>
    <w:p w14:paraId="4D1B7032">
      <w:pPr>
        <w:ind w:firstLine="709"/>
        <w:jc w:val="both"/>
        <w:rPr>
          <w:sz w:val="24"/>
          <w:szCs w:val="24"/>
        </w:rPr>
      </w:pPr>
      <w:r>
        <w:rPr>
          <w:sz w:val="24"/>
          <w:szCs w:val="24"/>
        </w:rPr>
        <w:t>В проекте местного бюджета по данному разделу предусмотрены бюджетные ассигнования на 2026 год в сумме 2441,80 тыс. рублей, в т. ч. на уличное освещение – 553,40 тыс. руб.; на обслуживание автомобильных дорог – 1386,20 тыс. руб.; на организацию транспортных услуг населению и организацию транспортного обслуживания в границах поселения – 502,20 тыс. руб.</w:t>
      </w:r>
    </w:p>
    <w:p w14:paraId="3882D3F7">
      <w:pPr>
        <w:ind w:firstLine="709"/>
        <w:jc w:val="both"/>
        <w:rPr>
          <w:sz w:val="24"/>
          <w:szCs w:val="24"/>
        </w:rPr>
      </w:pPr>
      <w:r>
        <w:rPr>
          <w:sz w:val="24"/>
          <w:szCs w:val="24"/>
        </w:rPr>
        <w:t>В целях поддержания и развития сети автомобильных дорог местного значения данные средства поступают в виде налога на акцизы.</w:t>
      </w:r>
    </w:p>
    <w:p w14:paraId="3A151E94">
      <w:pPr>
        <w:ind w:firstLine="709"/>
        <w:jc w:val="both"/>
        <w:rPr>
          <w:sz w:val="24"/>
          <w:szCs w:val="24"/>
        </w:rPr>
      </w:pPr>
    </w:p>
    <w:p w14:paraId="5572C9B3">
      <w:pPr>
        <w:ind w:left="360"/>
        <w:jc w:val="center"/>
        <w:rPr>
          <w:b/>
          <w:sz w:val="24"/>
          <w:szCs w:val="24"/>
        </w:rPr>
      </w:pPr>
      <w:r>
        <w:rPr>
          <w:b/>
          <w:sz w:val="24"/>
          <w:szCs w:val="24"/>
        </w:rPr>
        <w:t>Раздел 0500 «Жилищно-коммунальное хозяйство»</w:t>
      </w:r>
    </w:p>
    <w:p w14:paraId="0B877F22">
      <w:pPr>
        <w:ind w:firstLine="709"/>
        <w:jc w:val="both"/>
        <w:rPr>
          <w:sz w:val="24"/>
          <w:szCs w:val="24"/>
        </w:rPr>
      </w:pPr>
    </w:p>
    <w:p w14:paraId="3C649110">
      <w:pPr>
        <w:ind w:firstLine="709"/>
        <w:jc w:val="both"/>
        <w:rPr>
          <w:sz w:val="24"/>
          <w:szCs w:val="24"/>
        </w:rPr>
      </w:pPr>
      <w:r>
        <w:rPr>
          <w:sz w:val="24"/>
          <w:szCs w:val="24"/>
        </w:rPr>
        <w:t>В проекте местного бюджета по данному разделу предусмотрены бюджетные ассигнования на 2026 год в сумме 914,30 тыс. руб. на организацию водоснабжения в пределах переданных полномочий.</w:t>
      </w:r>
    </w:p>
    <w:p w14:paraId="0F0EDDFA">
      <w:pPr>
        <w:rPr>
          <w:b/>
          <w:sz w:val="24"/>
          <w:szCs w:val="24"/>
        </w:rPr>
      </w:pPr>
    </w:p>
    <w:p w14:paraId="5F8F1D52">
      <w:pPr>
        <w:ind w:left="360"/>
        <w:jc w:val="center"/>
        <w:rPr>
          <w:b/>
          <w:sz w:val="24"/>
          <w:szCs w:val="24"/>
        </w:rPr>
      </w:pPr>
      <w:r>
        <w:rPr>
          <w:b/>
          <w:sz w:val="24"/>
          <w:szCs w:val="24"/>
        </w:rPr>
        <w:t>Раздел 0800 «Культура»</w:t>
      </w:r>
    </w:p>
    <w:p w14:paraId="4D665AB6">
      <w:pPr>
        <w:ind w:left="360"/>
        <w:jc w:val="center"/>
        <w:rPr>
          <w:b/>
          <w:sz w:val="24"/>
          <w:szCs w:val="24"/>
        </w:rPr>
      </w:pPr>
    </w:p>
    <w:p w14:paraId="3FCAD8A2">
      <w:pPr>
        <w:ind w:firstLine="709"/>
        <w:rPr>
          <w:sz w:val="24"/>
          <w:szCs w:val="24"/>
        </w:rPr>
      </w:pPr>
      <w:r>
        <w:rPr>
          <w:sz w:val="24"/>
          <w:szCs w:val="24"/>
        </w:rPr>
        <w:t>В проекте местного бюджета по данному разделу предусмотрены бюджетные ассигнования на 2026 год в сумме 1294,80 тыс. рублей, в т. ч на оплату труда – 994,50 тыс. рублей, на страховые взносы – 300,30 тыс. рублей работникам культуры.</w:t>
      </w:r>
    </w:p>
    <w:p w14:paraId="27BA2887">
      <w:pPr>
        <w:rPr>
          <w:b/>
          <w:sz w:val="24"/>
          <w:szCs w:val="24"/>
        </w:rPr>
      </w:pPr>
    </w:p>
    <w:p w14:paraId="7A344B71">
      <w:pPr>
        <w:jc w:val="both"/>
        <w:rPr>
          <w:sz w:val="24"/>
          <w:szCs w:val="24"/>
        </w:rPr>
      </w:pPr>
    </w:p>
    <w:p w14:paraId="1692994A">
      <w:pPr>
        <w:jc w:val="both"/>
        <w:rPr>
          <w:b/>
          <w:sz w:val="24"/>
          <w:szCs w:val="24"/>
        </w:rPr>
      </w:pPr>
      <w:r>
        <w:rPr>
          <w:sz w:val="24"/>
          <w:szCs w:val="24"/>
        </w:rPr>
        <w:t xml:space="preserve">             </w:t>
      </w:r>
      <w:r>
        <w:rPr>
          <w:b/>
          <w:sz w:val="24"/>
          <w:szCs w:val="24"/>
        </w:rPr>
        <w:t xml:space="preserve">                              </w:t>
      </w:r>
    </w:p>
    <w:p w14:paraId="5369E33D">
      <w:pPr>
        <w:autoSpaceDE w:val="0"/>
        <w:autoSpaceDN w:val="0"/>
        <w:adjustRightInd w:val="0"/>
        <w:ind w:firstLine="360"/>
        <w:jc w:val="center"/>
        <w:rPr>
          <w:b/>
          <w:color w:val="000000"/>
          <w:sz w:val="24"/>
          <w:szCs w:val="24"/>
          <w:lang w:eastAsia="en-US"/>
        </w:rPr>
      </w:pPr>
      <w:r>
        <w:rPr>
          <w:b/>
          <w:color w:val="000000"/>
          <w:sz w:val="24"/>
          <w:szCs w:val="24"/>
          <w:lang w:eastAsia="en-US"/>
        </w:rPr>
        <w:t>Раздел 1400 «Межбюджетные трансферты»</w:t>
      </w:r>
    </w:p>
    <w:p w14:paraId="6C692582">
      <w:pPr>
        <w:autoSpaceDE w:val="0"/>
        <w:autoSpaceDN w:val="0"/>
        <w:adjustRightInd w:val="0"/>
        <w:ind w:firstLine="360"/>
        <w:jc w:val="center"/>
        <w:rPr>
          <w:b/>
          <w:color w:val="000000"/>
          <w:sz w:val="24"/>
          <w:szCs w:val="24"/>
          <w:lang w:eastAsia="en-US"/>
        </w:rPr>
      </w:pPr>
    </w:p>
    <w:p w14:paraId="700E4E71">
      <w:pPr>
        <w:ind w:firstLine="709"/>
        <w:jc w:val="both"/>
        <w:rPr>
          <w:sz w:val="24"/>
          <w:szCs w:val="24"/>
        </w:rPr>
      </w:pPr>
      <w:r>
        <w:rPr>
          <w:sz w:val="24"/>
          <w:szCs w:val="24"/>
        </w:rPr>
        <w:t xml:space="preserve">В проекте местного бюджета по данному разделу предусмотрены бюджетные ассигнования на 2026 год в сумме 132,00 тыс. рублей. Межбюджетные трансферты, выделяемые из бюджета </w:t>
      </w:r>
      <w:r>
        <w:rPr>
          <w:sz w:val="24"/>
          <w:szCs w:val="24"/>
          <w:lang w:val="ru-RU"/>
        </w:rPr>
        <w:t>Кубовского</w:t>
      </w:r>
      <w:bookmarkStart w:id="0" w:name="_GoBack"/>
      <w:bookmarkEnd w:id="0"/>
      <w:r>
        <w:rPr>
          <w:sz w:val="24"/>
          <w:szCs w:val="24"/>
        </w:rPr>
        <w:t xml:space="preserve"> сельского поселения на финансирование расходов, связанных с передачей полномочий органам местного самоуправления муниципального района, в том числе по формированию и  исполнению бюджета поселения в сумме 120,90 тыс.рублей, КСО – 4,30 тыс. рублей, ГО ЧС – 6,80 тыс. рублей.</w:t>
      </w:r>
    </w:p>
    <w:p w14:paraId="1C04A119">
      <w:pPr>
        <w:ind w:firstLine="284"/>
        <w:jc w:val="both"/>
        <w:rPr>
          <w:sz w:val="22"/>
          <w:szCs w:val="22"/>
        </w:rPr>
      </w:pPr>
      <w:r>
        <w:rPr>
          <w:sz w:val="22"/>
          <w:szCs w:val="22"/>
        </w:rPr>
        <w:t xml:space="preserve">        </w:t>
      </w:r>
    </w:p>
    <w:p w14:paraId="55E7AA1D">
      <w:pPr>
        <w:ind w:firstLine="284"/>
        <w:jc w:val="both"/>
        <w:rPr>
          <w:sz w:val="22"/>
          <w:szCs w:val="22"/>
        </w:rPr>
      </w:pPr>
      <w:r>
        <w:rPr>
          <w:sz w:val="22"/>
          <w:szCs w:val="22"/>
        </w:rPr>
        <w:t xml:space="preserve">     </w:t>
      </w:r>
    </w:p>
    <w:p w14:paraId="66AFB4F5">
      <w:pPr>
        <w:ind w:firstLine="284"/>
        <w:jc w:val="both"/>
        <w:rPr>
          <w:sz w:val="24"/>
          <w:szCs w:val="24"/>
        </w:rPr>
      </w:pPr>
      <w:r>
        <w:rPr>
          <w:sz w:val="22"/>
          <w:szCs w:val="22"/>
        </w:rPr>
        <w:t xml:space="preserve">    </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drawingGridHorizontalSpacing w:val="10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2A7CAE"/>
    <w:rsid w:val="00023502"/>
    <w:rsid w:val="00024149"/>
    <w:rsid w:val="000258F6"/>
    <w:rsid w:val="00035AE5"/>
    <w:rsid w:val="00057F6F"/>
    <w:rsid w:val="00075410"/>
    <w:rsid w:val="0009114F"/>
    <w:rsid w:val="000A252C"/>
    <w:rsid w:val="000B588B"/>
    <w:rsid w:val="000C77E8"/>
    <w:rsid w:val="000E47E0"/>
    <w:rsid w:val="0010002D"/>
    <w:rsid w:val="00115D4D"/>
    <w:rsid w:val="00121202"/>
    <w:rsid w:val="00133AF5"/>
    <w:rsid w:val="0013457C"/>
    <w:rsid w:val="00140823"/>
    <w:rsid w:val="00146F40"/>
    <w:rsid w:val="00153827"/>
    <w:rsid w:val="00174476"/>
    <w:rsid w:val="001A4064"/>
    <w:rsid w:val="001A6C75"/>
    <w:rsid w:val="001B28A2"/>
    <w:rsid w:val="001B298D"/>
    <w:rsid w:val="001F417B"/>
    <w:rsid w:val="002019DC"/>
    <w:rsid w:val="00201F03"/>
    <w:rsid w:val="002025F0"/>
    <w:rsid w:val="00240D8A"/>
    <w:rsid w:val="002450D3"/>
    <w:rsid w:val="00256D56"/>
    <w:rsid w:val="00265F12"/>
    <w:rsid w:val="002862FE"/>
    <w:rsid w:val="002A7CAE"/>
    <w:rsid w:val="002C2E36"/>
    <w:rsid w:val="002C5CA6"/>
    <w:rsid w:val="002D3589"/>
    <w:rsid w:val="0030211A"/>
    <w:rsid w:val="00314587"/>
    <w:rsid w:val="00315820"/>
    <w:rsid w:val="00317034"/>
    <w:rsid w:val="00326167"/>
    <w:rsid w:val="003449FF"/>
    <w:rsid w:val="00352CBD"/>
    <w:rsid w:val="00360D08"/>
    <w:rsid w:val="0036325E"/>
    <w:rsid w:val="00364130"/>
    <w:rsid w:val="00375375"/>
    <w:rsid w:val="003B2CAA"/>
    <w:rsid w:val="003C19E2"/>
    <w:rsid w:val="003C4E92"/>
    <w:rsid w:val="003D5526"/>
    <w:rsid w:val="003E0BA7"/>
    <w:rsid w:val="003F4259"/>
    <w:rsid w:val="004011FC"/>
    <w:rsid w:val="0040438E"/>
    <w:rsid w:val="00410F15"/>
    <w:rsid w:val="0041497C"/>
    <w:rsid w:val="004229EC"/>
    <w:rsid w:val="0043270D"/>
    <w:rsid w:val="0045243B"/>
    <w:rsid w:val="00453903"/>
    <w:rsid w:val="00490945"/>
    <w:rsid w:val="004A5B53"/>
    <w:rsid w:val="004A7783"/>
    <w:rsid w:val="004B2BC9"/>
    <w:rsid w:val="004B773A"/>
    <w:rsid w:val="004C02BD"/>
    <w:rsid w:val="004D114C"/>
    <w:rsid w:val="004D15C9"/>
    <w:rsid w:val="00501B28"/>
    <w:rsid w:val="00503986"/>
    <w:rsid w:val="00516723"/>
    <w:rsid w:val="00516F0B"/>
    <w:rsid w:val="005209C8"/>
    <w:rsid w:val="005277E9"/>
    <w:rsid w:val="00532F99"/>
    <w:rsid w:val="005520B1"/>
    <w:rsid w:val="00563A01"/>
    <w:rsid w:val="00586C12"/>
    <w:rsid w:val="00594A12"/>
    <w:rsid w:val="005A148B"/>
    <w:rsid w:val="005B3E70"/>
    <w:rsid w:val="005C12C1"/>
    <w:rsid w:val="005C169A"/>
    <w:rsid w:val="005D0E11"/>
    <w:rsid w:val="005E68D8"/>
    <w:rsid w:val="005F1C02"/>
    <w:rsid w:val="005F7198"/>
    <w:rsid w:val="00600298"/>
    <w:rsid w:val="00614811"/>
    <w:rsid w:val="006155DB"/>
    <w:rsid w:val="006239D5"/>
    <w:rsid w:val="0063423B"/>
    <w:rsid w:val="0066096A"/>
    <w:rsid w:val="006670A4"/>
    <w:rsid w:val="0068307D"/>
    <w:rsid w:val="006949A3"/>
    <w:rsid w:val="006A0ACE"/>
    <w:rsid w:val="006B5D00"/>
    <w:rsid w:val="006C1164"/>
    <w:rsid w:val="00703921"/>
    <w:rsid w:val="00717F9D"/>
    <w:rsid w:val="0073437A"/>
    <w:rsid w:val="007546F8"/>
    <w:rsid w:val="00767F01"/>
    <w:rsid w:val="00793984"/>
    <w:rsid w:val="0079570E"/>
    <w:rsid w:val="007B6709"/>
    <w:rsid w:val="007B7F37"/>
    <w:rsid w:val="007C109C"/>
    <w:rsid w:val="00802415"/>
    <w:rsid w:val="00820C8B"/>
    <w:rsid w:val="00820ED9"/>
    <w:rsid w:val="008312D1"/>
    <w:rsid w:val="008337F6"/>
    <w:rsid w:val="008743AA"/>
    <w:rsid w:val="0088588D"/>
    <w:rsid w:val="00896C85"/>
    <w:rsid w:val="008A5B61"/>
    <w:rsid w:val="008C23DD"/>
    <w:rsid w:val="008F7128"/>
    <w:rsid w:val="00905F63"/>
    <w:rsid w:val="00926375"/>
    <w:rsid w:val="00927FF0"/>
    <w:rsid w:val="009355CD"/>
    <w:rsid w:val="00937C99"/>
    <w:rsid w:val="009433AA"/>
    <w:rsid w:val="0095581B"/>
    <w:rsid w:val="00967AF9"/>
    <w:rsid w:val="00967D74"/>
    <w:rsid w:val="009750E2"/>
    <w:rsid w:val="00983068"/>
    <w:rsid w:val="00985511"/>
    <w:rsid w:val="0099412A"/>
    <w:rsid w:val="009B1294"/>
    <w:rsid w:val="009C4048"/>
    <w:rsid w:val="009F733D"/>
    <w:rsid w:val="00A1155C"/>
    <w:rsid w:val="00A1290C"/>
    <w:rsid w:val="00A40CD0"/>
    <w:rsid w:val="00A465D1"/>
    <w:rsid w:val="00A53B2D"/>
    <w:rsid w:val="00A846F1"/>
    <w:rsid w:val="00A92F39"/>
    <w:rsid w:val="00A95580"/>
    <w:rsid w:val="00AB0C77"/>
    <w:rsid w:val="00AB2F3D"/>
    <w:rsid w:val="00AE4F50"/>
    <w:rsid w:val="00AF62F0"/>
    <w:rsid w:val="00B05177"/>
    <w:rsid w:val="00B23C2C"/>
    <w:rsid w:val="00B77EAB"/>
    <w:rsid w:val="00B82F6D"/>
    <w:rsid w:val="00B84768"/>
    <w:rsid w:val="00BA4616"/>
    <w:rsid w:val="00BB39AA"/>
    <w:rsid w:val="00BC2464"/>
    <w:rsid w:val="00BE04EA"/>
    <w:rsid w:val="00BE1F73"/>
    <w:rsid w:val="00BE2664"/>
    <w:rsid w:val="00C01BD1"/>
    <w:rsid w:val="00C12E4A"/>
    <w:rsid w:val="00C23D1C"/>
    <w:rsid w:val="00C251BE"/>
    <w:rsid w:val="00C25B19"/>
    <w:rsid w:val="00C316F9"/>
    <w:rsid w:val="00C358ED"/>
    <w:rsid w:val="00C37F16"/>
    <w:rsid w:val="00C55D67"/>
    <w:rsid w:val="00C60EFD"/>
    <w:rsid w:val="00C62C81"/>
    <w:rsid w:val="00C86E67"/>
    <w:rsid w:val="00CA1F0A"/>
    <w:rsid w:val="00CB2DA3"/>
    <w:rsid w:val="00CC115F"/>
    <w:rsid w:val="00CC3971"/>
    <w:rsid w:val="00CE0EDD"/>
    <w:rsid w:val="00CE60C9"/>
    <w:rsid w:val="00CF29A9"/>
    <w:rsid w:val="00D01ACB"/>
    <w:rsid w:val="00D0789A"/>
    <w:rsid w:val="00D1301B"/>
    <w:rsid w:val="00D15CFD"/>
    <w:rsid w:val="00D230AF"/>
    <w:rsid w:val="00D44ED1"/>
    <w:rsid w:val="00D63582"/>
    <w:rsid w:val="00D85349"/>
    <w:rsid w:val="00D9344C"/>
    <w:rsid w:val="00DE2D66"/>
    <w:rsid w:val="00DF5BB2"/>
    <w:rsid w:val="00DF7D0C"/>
    <w:rsid w:val="00E07D56"/>
    <w:rsid w:val="00E12FD6"/>
    <w:rsid w:val="00E141D6"/>
    <w:rsid w:val="00E145E7"/>
    <w:rsid w:val="00E37C1A"/>
    <w:rsid w:val="00E45448"/>
    <w:rsid w:val="00E60C77"/>
    <w:rsid w:val="00E65D32"/>
    <w:rsid w:val="00E826B0"/>
    <w:rsid w:val="00EB1CE4"/>
    <w:rsid w:val="00EB779E"/>
    <w:rsid w:val="00EC5E69"/>
    <w:rsid w:val="00ED20D6"/>
    <w:rsid w:val="00ED5FE3"/>
    <w:rsid w:val="00EE58DA"/>
    <w:rsid w:val="00EF124C"/>
    <w:rsid w:val="00F15571"/>
    <w:rsid w:val="00F35DEE"/>
    <w:rsid w:val="00F4558B"/>
    <w:rsid w:val="00F45E17"/>
    <w:rsid w:val="00F54487"/>
    <w:rsid w:val="00F56728"/>
    <w:rsid w:val="00FB0907"/>
    <w:rsid w:val="00FE3184"/>
    <w:rsid w:val="00FE6AA1"/>
    <w:rsid w:val="00FF4667"/>
    <w:rsid w:val="62040E8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0"/>
      <w:szCs w:val="20"/>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8"/>
    <w:uiPriority w:val="0"/>
    <w:pPr>
      <w:spacing w:after="120"/>
    </w:pPr>
  </w:style>
  <w:style w:type="paragraph" w:styleId="5">
    <w:name w:val="Body Text Indent"/>
    <w:basedOn w:val="1"/>
    <w:link w:val="7"/>
    <w:uiPriority w:val="0"/>
    <w:pPr>
      <w:spacing w:after="120"/>
      <w:ind w:left="283"/>
    </w:pPr>
  </w:style>
  <w:style w:type="table" w:styleId="6">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Основной текст с отступом Знак"/>
    <w:basedOn w:val="2"/>
    <w:link w:val="5"/>
    <w:uiPriority w:val="0"/>
    <w:rPr>
      <w:rFonts w:ascii="Times New Roman" w:hAnsi="Times New Roman" w:eastAsia="Times New Roman" w:cs="Times New Roman"/>
      <w:sz w:val="20"/>
      <w:szCs w:val="20"/>
      <w:lang w:eastAsia="ru-RU"/>
    </w:rPr>
  </w:style>
  <w:style w:type="character" w:customStyle="1" w:styleId="8">
    <w:name w:val="Основной текст Знак"/>
    <w:basedOn w:val="2"/>
    <w:link w:val="4"/>
    <w:uiPriority w:val="0"/>
    <w:rPr>
      <w:rFonts w:ascii="Times New Roman" w:hAnsi="Times New Roman" w:eastAsia="Times New Roman" w:cs="Times New Roman"/>
      <w:sz w:val="20"/>
      <w:szCs w:val="20"/>
      <w:lang w:eastAsia="ru-RU"/>
    </w:rPr>
  </w:style>
  <w:style w:type="paragraph" w:customStyle="1" w:styleId="9">
    <w:name w:val="ConsPlusNormal"/>
    <w:link w:val="10"/>
    <w:uiPriority w:val="0"/>
    <w:pPr>
      <w:spacing w:after="0" w:line="240" w:lineRule="auto"/>
      <w:ind w:firstLine="720"/>
    </w:pPr>
    <w:rPr>
      <w:rFonts w:ascii="Arial" w:hAnsi="Arial" w:eastAsia="Times New Roman" w:cs="Times New Roman"/>
      <w:snapToGrid w:val="0"/>
      <w:sz w:val="20"/>
      <w:szCs w:val="20"/>
      <w:lang w:val="ru-RU" w:eastAsia="ru-RU" w:bidi="ar-SA"/>
    </w:rPr>
  </w:style>
  <w:style w:type="character" w:customStyle="1" w:styleId="10">
    <w:name w:val="ConsPlusNormal Знак"/>
    <w:link w:val="9"/>
    <w:uiPriority w:val="0"/>
    <w:rPr>
      <w:rFonts w:ascii="Arial" w:hAnsi="Arial" w:eastAsia="Times New Roman" w:cs="Times New Roman"/>
      <w:snapToGrid w:val="0"/>
      <w:sz w:val="20"/>
      <w:szCs w:val="20"/>
      <w:lang w:eastAsia="ru-RU"/>
    </w:rPr>
  </w:style>
  <w:style w:type="paragraph" w:customStyle="1" w:styleId="11">
    <w:name w:val="0"/>
    <w:basedOn w:val="1"/>
    <w:link w:val="12"/>
    <w:qFormat/>
    <w:uiPriority w:val="0"/>
    <w:pPr>
      <w:widowControl w:val="0"/>
      <w:autoSpaceDE w:val="0"/>
      <w:autoSpaceDN w:val="0"/>
      <w:adjustRightInd w:val="0"/>
      <w:spacing w:before="240" w:after="240"/>
      <w:ind w:firstLine="720"/>
      <w:jc w:val="center"/>
      <w:outlineLvl w:val="1"/>
    </w:pPr>
    <w:rPr>
      <w:i/>
      <w:color w:val="000000"/>
      <w:sz w:val="28"/>
      <w:szCs w:val="28"/>
    </w:rPr>
  </w:style>
  <w:style w:type="character" w:customStyle="1" w:styleId="12">
    <w:name w:val="0 Знак"/>
    <w:basedOn w:val="2"/>
    <w:link w:val="11"/>
    <w:uiPriority w:val="0"/>
    <w:rPr>
      <w:rFonts w:ascii="Times New Roman" w:hAnsi="Times New Roman" w:eastAsia="Times New Roman" w:cs="Times New Roman"/>
      <w:i/>
      <w:color w:val="000000"/>
      <w:sz w:val="28"/>
      <w:szCs w:val="28"/>
      <w:lang w:eastAsia="ru-RU"/>
    </w:rPr>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39F06-6D89-4855-A12C-4EF6009BA68C}">
  <ds:schemaRefs/>
</ds:datastoreItem>
</file>

<file path=docProps/app.xml><?xml version="1.0" encoding="utf-8"?>
<Properties xmlns="http://schemas.openxmlformats.org/officeDocument/2006/extended-properties" xmlns:vt="http://schemas.openxmlformats.org/officeDocument/2006/docPropsVTypes">
  <Template>Normal</Template>
  <Pages>4</Pages>
  <Words>1246</Words>
  <Characters>7105</Characters>
  <Lines>59</Lines>
  <Paragraphs>16</Paragraphs>
  <TotalTime>1879</TotalTime>
  <ScaleCrop>false</ScaleCrop>
  <LinksUpToDate>false</LinksUpToDate>
  <CharactersWithSpaces>8335</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2017-11-15T06:16:00Z</dcterms:created>
  <dc:creator>user01</dc:creator>
  <cp:lastModifiedBy>User</cp:lastModifiedBy>
  <cp:lastPrinted>2025-11-26T13:19:55Z</cp:lastPrinted>
  <dcterms:modified xsi:type="dcterms:W3CDTF">2025-11-26T13:46:23Z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F235A1341C4948DDBD049F1C7A3142C8_12</vt:lpwstr>
  </property>
</Properties>
</file>